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5E085" w14:textId="77777777" w:rsidR="00E81245" w:rsidRPr="00E81245" w:rsidRDefault="00E81245" w:rsidP="00E812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81245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81CB1D0" wp14:editId="1FDE287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245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E81245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E81245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6DA33E42" w14:textId="77777777" w:rsidR="00E81245" w:rsidRPr="00E81245" w:rsidRDefault="00E81245" w:rsidP="00E81245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E81245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14:paraId="2A98520E" w14:textId="77777777"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090A21A" w14:textId="77777777" w:rsidR="00E81245" w:rsidRPr="00E81245" w:rsidRDefault="00E81245" w:rsidP="00E81245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E81245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13.</w:t>
      </w:r>
      <w:r w:rsidRPr="00E81245">
        <w:rPr>
          <w:rFonts w:ascii="Times New Roman" w:eastAsia="Times New Roman" w:hAnsi="Times New Roman"/>
          <w:sz w:val="24"/>
          <w:szCs w:val="24"/>
          <w:lang w:eastAsia="hr-HR"/>
        </w:rPr>
        <w:t xml:space="preserve"> travnja 2023.</w:t>
      </w:r>
    </w:p>
    <w:p w14:paraId="37A79012" w14:textId="77777777" w:rsidR="00E81245" w:rsidRPr="00E81245" w:rsidRDefault="00E81245" w:rsidP="00E8124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81245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09B4B917" w14:textId="77777777" w:rsidR="00E81245" w:rsidRPr="00E81245" w:rsidRDefault="00E81245" w:rsidP="00E81245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E81245" w:rsidRPr="00E81245" w:rsidSect="00E81245"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81245" w:rsidRPr="00E81245" w14:paraId="73B0FD73" w14:textId="77777777" w:rsidTr="009C7818">
        <w:tc>
          <w:tcPr>
            <w:tcW w:w="1951" w:type="dxa"/>
          </w:tcPr>
          <w:p w14:paraId="752D57E8" w14:textId="77777777" w:rsidR="00E81245" w:rsidRPr="00E81245" w:rsidRDefault="00E81245" w:rsidP="00E81245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E81245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E81245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67925418" w14:textId="77777777" w:rsidR="00E81245" w:rsidRPr="00E81245" w:rsidRDefault="00E81245" w:rsidP="00E81245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67F811B9" w14:textId="77777777" w:rsidR="00E81245" w:rsidRPr="00E81245" w:rsidRDefault="00E81245" w:rsidP="00E8124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81245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32CCC43E" w14:textId="77777777" w:rsidR="00E81245" w:rsidRPr="00E81245" w:rsidRDefault="00E81245" w:rsidP="00E81245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E81245" w:rsidRPr="00E8124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81245" w:rsidRPr="00E81245" w14:paraId="5CCBE743" w14:textId="77777777" w:rsidTr="009C7818">
        <w:tc>
          <w:tcPr>
            <w:tcW w:w="1951" w:type="dxa"/>
          </w:tcPr>
          <w:p w14:paraId="749156C9" w14:textId="77777777" w:rsidR="00E81245" w:rsidRPr="00E81245" w:rsidRDefault="00E81245" w:rsidP="00E81245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E81245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E81245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06BB5C2D" w14:textId="77777777" w:rsidR="00E81245" w:rsidRPr="00E81245" w:rsidRDefault="00E81245" w:rsidP="00E81245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 w:rsidRPr="00E81245">
              <w:rPr>
                <w:sz w:val="24"/>
                <w:szCs w:val="24"/>
                <w:lang w:eastAsia="hr-HR"/>
              </w:rPr>
              <w:t>Prijedlog odluke o davanju suglasnosti Ministarstvu zdravstva za preuzimanje obveza na teret sredstava državnog proračuna Republike Hrvatske u razdoblju od 2024. do 2036., radi financiranja nastavka realizacije projekta izgradnje i opremanja nove zgrade Opće bolnice „Dr. Anđelko Višić“ Bjelovar</w:t>
            </w:r>
            <w:r>
              <w:rPr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1573E908" w14:textId="77777777" w:rsidR="00E81245" w:rsidRPr="00E81245" w:rsidRDefault="00E81245" w:rsidP="00E81245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E81245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__________________________________________________________________________</w:t>
      </w:r>
    </w:p>
    <w:p w14:paraId="1ABF9CC5" w14:textId="77777777"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3EDE245" w14:textId="77777777"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0E4D75" w14:textId="77777777"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7BE338E" w14:textId="77777777"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CCB550" w14:textId="77777777"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654991B" w14:textId="77777777"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6824885" w14:textId="77777777"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24FA7E" w14:textId="77777777"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E81245" w:rsidRPr="00E8124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8AAAE6E" w14:textId="77777777"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6F29923" w14:textId="77777777" w:rsidR="00C12B53" w:rsidRPr="00D468EE" w:rsidRDefault="00C12B53" w:rsidP="00D468E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D468EE">
        <w:rPr>
          <w:rFonts w:ascii="Times New Roman" w:eastAsia="Times New Roman" w:hAnsi="Times New Roman"/>
          <w:b/>
          <w:sz w:val="24"/>
          <w:szCs w:val="24"/>
        </w:rPr>
        <w:t>P</w:t>
      </w:r>
      <w:r w:rsidR="002C45AD" w:rsidRPr="00D468EE">
        <w:rPr>
          <w:rFonts w:ascii="Times New Roman" w:eastAsia="Times New Roman" w:hAnsi="Times New Roman"/>
          <w:b/>
          <w:sz w:val="24"/>
          <w:szCs w:val="24"/>
        </w:rPr>
        <w:t>rijedlog</w:t>
      </w:r>
    </w:p>
    <w:p w14:paraId="33E9B220" w14:textId="77777777" w:rsidR="00C12B53" w:rsidRPr="00D468EE" w:rsidRDefault="00C12B53" w:rsidP="00D468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7634A5F" w14:textId="77777777" w:rsidR="002C45AD" w:rsidRPr="00D468EE" w:rsidRDefault="002C45AD" w:rsidP="00D468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728E2B3" w14:textId="77777777" w:rsidR="002C45AD" w:rsidRPr="00D468EE" w:rsidRDefault="002C45AD" w:rsidP="00D468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68DABBE" w14:textId="77777777" w:rsidR="00C12B53" w:rsidRPr="00D468EE" w:rsidRDefault="00741D9A" w:rsidP="00D468EE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468EE">
        <w:rPr>
          <w:rFonts w:ascii="Times New Roman" w:eastAsia="Times New Roman" w:hAnsi="Times New Roman"/>
          <w:sz w:val="24"/>
          <w:szCs w:val="24"/>
        </w:rPr>
        <w:t xml:space="preserve">Na temelju članka 31. stavka 2. Zakona o Vladi Republike Hrvatske („Narodne novine“, br. 150/11., 119/14., 93/16., 116/18. i 80/22.) </w:t>
      </w:r>
      <w:r w:rsidR="00C12B53" w:rsidRPr="00D468EE">
        <w:rPr>
          <w:rFonts w:ascii="Times New Roman" w:eastAsia="Times New Roman" w:hAnsi="Times New Roman"/>
          <w:sz w:val="24"/>
          <w:szCs w:val="24"/>
        </w:rPr>
        <w:t xml:space="preserve">i </w:t>
      </w:r>
      <w:r w:rsidR="001661B3" w:rsidRPr="00D468EE">
        <w:rPr>
          <w:rFonts w:ascii="Times New Roman" w:eastAsia="Times New Roman" w:hAnsi="Times New Roman"/>
          <w:sz w:val="24"/>
          <w:szCs w:val="24"/>
        </w:rPr>
        <w:t>članka 48. stavka 2. Zakona o proračunu („Narodne novine“, br</w:t>
      </w:r>
      <w:r w:rsidR="000F51C4">
        <w:rPr>
          <w:rFonts w:ascii="Times New Roman" w:eastAsia="Times New Roman" w:hAnsi="Times New Roman"/>
          <w:sz w:val="24"/>
          <w:szCs w:val="24"/>
        </w:rPr>
        <w:t>oj</w:t>
      </w:r>
      <w:r w:rsidR="001661B3" w:rsidRPr="00D468EE">
        <w:rPr>
          <w:rFonts w:ascii="Times New Roman" w:eastAsia="Times New Roman" w:hAnsi="Times New Roman"/>
          <w:sz w:val="24"/>
          <w:szCs w:val="24"/>
        </w:rPr>
        <w:t xml:space="preserve"> 144/21.), Vlada Republike Hrvatske je na sjednici održanoj _________ 2023. donijela</w:t>
      </w:r>
    </w:p>
    <w:p w14:paraId="64027322" w14:textId="77777777" w:rsidR="002C45AD" w:rsidRPr="000F51C4" w:rsidRDefault="002C45AD" w:rsidP="000F5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4D07DAC2" w14:textId="77777777" w:rsidR="002C45AD" w:rsidRPr="000F51C4" w:rsidRDefault="002C45AD" w:rsidP="000F5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41602489" w14:textId="77777777" w:rsidR="00C12B53" w:rsidRPr="00D468EE" w:rsidRDefault="00C12B53" w:rsidP="00D468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468EE">
        <w:rPr>
          <w:rFonts w:ascii="Times New Roman" w:eastAsia="Times New Roman" w:hAnsi="Times New Roman"/>
          <w:b/>
          <w:sz w:val="24"/>
          <w:szCs w:val="24"/>
        </w:rPr>
        <w:t>O D L U K U</w:t>
      </w:r>
    </w:p>
    <w:p w14:paraId="2066705E" w14:textId="77777777" w:rsidR="002C45AD" w:rsidRPr="00D468EE" w:rsidRDefault="002C45AD" w:rsidP="00D468E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14F17C66" w14:textId="77777777" w:rsidR="000F51C4" w:rsidRDefault="002C45AD" w:rsidP="00D468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468E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 davanju suglasnosti Ministarstvu zdravstva za preuzimanje obveza na teret </w:t>
      </w:r>
    </w:p>
    <w:p w14:paraId="0F3E1C04" w14:textId="77777777" w:rsidR="00741D9A" w:rsidRPr="00D468EE" w:rsidRDefault="002C45AD" w:rsidP="00D468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468E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sredstava državnog proračuna Republike Hrvatske u razdoblju od 202</w:t>
      </w:r>
      <w:r w:rsidR="00741D9A" w:rsidRPr="00D468E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4</w:t>
      </w:r>
      <w:r w:rsidRPr="00D468E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do 203</w:t>
      </w:r>
      <w:r w:rsidR="00741D9A" w:rsidRPr="00D468E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6</w:t>
      </w:r>
      <w:r w:rsidRPr="00D468E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.,</w:t>
      </w:r>
      <w:r w:rsidR="00741D9A" w:rsidRPr="00D468E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radi financiranja nastavka realizacije projekta izgradnje i opremanja nove zgrade </w:t>
      </w:r>
    </w:p>
    <w:p w14:paraId="5CC57974" w14:textId="77777777" w:rsidR="002C45AD" w:rsidRPr="00D468EE" w:rsidRDefault="00741D9A" w:rsidP="00D468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468E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Opće bolnice </w:t>
      </w:r>
      <w:r w:rsidR="000F51C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„</w:t>
      </w:r>
      <w:r w:rsidRPr="00D468E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Dr. Anđelko Višić</w:t>
      </w:r>
      <w:r w:rsidR="000F51C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“</w:t>
      </w:r>
      <w:r w:rsidRPr="00D468E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Bjelovar</w:t>
      </w:r>
    </w:p>
    <w:p w14:paraId="1ED1333B" w14:textId="77777777" w:rsidR="002C45AD" w:rsidRPr="00D468EE" w:rsidRDefault="002C45AD" w:rsidP="00D468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5AA71AF9" w14:textId="77777777" w:rsidR="002C45AD" w:rsidRPr="00D468EE" w:rsidRDefault="002C45AD" w:rsidP="00D468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57C2B9AB" w14:textId="77777777" w:rsidR="00C12B53" w:rsidRPr="00D468EE" w:rsidRDefault="00C12B53" w:rsidP="00D468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468EE">
        <w:rPr>
          <w:rFonts w:ascii="Times New Roman" w:eastAsia="Times New Roman" w:hAnsi="Times New Roman"/>
          <w:b/>
          <w:sz w:val="24"/>
          <w:szCs w:val="24"/>
        </w:rPr>
        <w:t>I.</w:t>
      </w:r>
    </w:p>
    <w:p w14:paraId="6459AE95" w14:textId="77777777" w:rsidR="00C12B53" w:rsidRPr="00D468EE" w:rsidRDefault="00C12B53" w:rsidP="00D468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5F8B85AF" w14:textId="102C69A4" w:rsidR="00C12B53" w:rsidRPr="00D468EE" w:rsidRDefault="00C12B53" w:rsidP="00D468EE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ind w:firstLine="142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D468EE">
        <w:rPr>
          <w:rFonts w:ascii="Times New Roman" w:eastAsia="Times New Roman" w:hAnsi="Times New Roman"/>
          <w:sz w:val="24"/>
          <w:szCs w:val="24"/>
        </w:rPr>
        <w:t xml:space="preserve">Daje se suglasnost Ministarstvu zdravstva za preuzimanje obveza na teret sredstava državnog proračuna Republike Hrvatske </w:t>
      </w:r>
      <w:r w:rsidR="00642E1D">
        <w:rPr>
          <w:rFonts w:ascii="Times New Roman" w:eastAsia="Times New Roman" w:hAnsi="Times New Roman"/>
          <w:sz w:val="24"/>
          <w:szCs w:val="24"/>
        </w:rPr>
        <w:t>u</w:t>
      </w:r>
      <w:r w:rsidRPr="00D468EE">
        <w:rPr>
          <w:rFonts w:ascii="Times New Roman" w:eastAsia="Times New Roman" w:hAnsi="Times New Roman"/>
          <w:sz w:val="24"/>
          <w:szCs w:val="24"/>
        </w:rPr>
        <w:t xml:space="preserve"> razdoblj</w:t>
      </w:r>
      <w:r w:rsidR="00642E1D">
        <w:rPr>
          <w:rFonts w:ascii="Times New Roman" w:eastAsia="Times New Roman" w:hAnsi="Times New Roman"/>
          <w:sz w:val="24"/>
          <w:szCs w:val="24"/>
        </w:rPr>
        <w:t>u</w:t>
      </w:r>
      <w:r w:rsidRPr="00D468EE">
        <w:rPr>
          <w:rFonts w:ascii="Times New Roman" w:eastAsia="Times New Roman" w:hAnsi="Times New Roman"/>
          <w:sz w:val="24"/>
          <w:szCs w:val="24"/>
        </w:rPr>
        <w:t xml:space="preserve"> od 202</w:t>
      </w:r>
      <w:r w:rsidR="00B278F4" w:rsidRPr="00D468EE">
        <w:rPr>
          <w:rFonts w:ascii="Times New Roman" w:eastAsia="Times New Roman" w:hAnsi="Times New Roman"/>
          <w:sz w:val="24"/>
          <w:szCs w:val="24"/>
        </w:rPr>
        <w:t>4</w:t>
      </w:r>
      <w:r w:rsidRPr="00D468EE">
        <w:rPr>
          <w:rFonts w:ascii="Times New Roman" w:eastAsia="Times New Roman" w:hAnsi="Times New Roman"/>
          <w:sz w:val="24"/>
          <w:szCs w:val="24"/>
        </w:rPr>
        <w:t>. do 203</w:t>
      </w:r>
      <w:r w:rsidR="00B278F4" w:rsidRPr="00D468EE">
        <w:rPr>
          <w:rFonts w:ascii="Times New Roman" w:eastAsia="Times New Roman" w:hAnsi="Times New Roman"/>
          <w:sz w:val="24"/>
          <w:szCs w:val="24"/>
        </w:rPr>
        <w:t>6</w:t>
      </w:r>
      <w:r w:rsidRPr="00D468EE">
        <w:rPr>
          <w:rFonts w:ascii="Times New Roman" w:eastAsia="Times New Roman" w:hAnsi="Times New Roman"/>
          <w:sz w:val="24"/>
          <w:szCs w:val="24"/>
        </w:rPr>
        <w:t>.</w:t>
      </w:r>
      <w:r w:rsidR="00B37C12">
        <w:rPr>
          <w:rFonts w:ascii="Times New Roman" w:eastAsia="Times New Roman" w:hAnsi="Times New Roman"/>
          <w:sz w:val="24"/>
          <w:szCs w:val="24"/>
        </w:rPr>
        <w:t>,</w:t>
      </w:r>
      <w:r w:rsidRPr="00D468EE">
        <w:rPr>
          <w:rFonts w:ascii="Times New Roman" w:eastAsia="Times New Roman" w:hAnsi="Times New Roman"/>
          <w:sz w:val="24"/>
          <w:szCs w:val="24"/>
        </w:rPr>
        <w:t xml:space="preserve"> u ukupnom iznosu od </w:t>
      </w:r>
      <w:r w:rsidR="002D1F06" w:rsidRPr="00D468EE">
        <w:rPr>
          <w:rFonts w:ascii="Times New Roman" w:eastAsia="Times New Roman" w:hAnsi="Times New Roman"/>
          <w:sz w:val="24"/>
          <w:szCs w:val="24"/>
        </w:rPr>
        <w:t xml:space="preserve">25.304.147,53 </w:t>
      </w:r>
      <w:r w:rsidR="00741D9A" w:rsidRPr="00D468EE">
        <w:rPr>
          <w:rFonts w:ascii="Times New Roman" w:eastAsia="Times New Roman" w:hAnsi="Times New Roman"/>
          <w:sz w:val="24"/>
          <w:szCs w:val="24"/>
        </w:rPr>
        <w:t>eura</w:t>
      </w:r>
      <w:r w:rsidRPr="00D468EE">
        <w:rPr>
          <w:rFonts w:ascii="Times New Roman" w:eastAsia="Times New Roman" w:hAnsi="Times New Roman"/>
          <w:sz w:val="24"/>
          <w:szCs w:val="24"/>
        </w:rPr>
        <w:t>, odnosno po godinama i u iznosima kako slijedi:</w:t>
      </w:r>
    </w:p>
    <w:p w14:paraId="06947893" w14:textId="77777777" w:rsidR="00C12B53" w:rsidRPr="00B37C12" w:rsidRDefault="00C12B53" w:rsidP="00D468EE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262"/>
      </w:tblGrid>
      <w:tr w:rsidR="00B37C12" w14:paraId="18144838" w14:textId="77777777" w:rsidTr="00B37C12">
        <w:trPr>
          <w:jc w:val="center"/>
        </w:trPr>
        <w:tc>
          <w:tcPr>
            <w:tcW w:w="3117" w:type="dxa"/>
          </w:tcPr>
          <w:p w14:paraId="08E24565" w14:textId="77777777" w:rsidR="00B37C12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b/>
                <w:sz w:val="24"/>
                <w:szCs w:val="24"/>
              </w:rPr>
              <w:lastRenderedPageBreak/>
              <w:t>Godina</w:t>
            </w:r>
          </w:p>
        </w:tc>
        <w:tc>
          <w:tcPr>
            <w:tcW w:w="3262" w:type="dxa"/>
          </w:tcPr>
          <w:p w14:paraId="6B8CEAB0" w14:textId="77777777" w:rsidR="00B37C12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b/>
                <w:sz w:val="24"/>
                <w:szCs w:val="24"/>
              </w:rPr>
              <w:t>Iznos</w:t>
            </w:r>
          </w:p>
        </w:tc>
      </w:tr>
      <w:tr w:rsidR="00B37C12" w14:paraId="480D4A09" w14:textId="77777777" w:rsidTr="00B37C12">
        <w:trPr>
          <w:jc w:val="center"/>
        </w:trPr>
        <w:tc>
          <w:tcPr>
            <w:tcW w:w="3117" w:type="dxa"/>
          </w:tcPr>
          <w:p w14:paraId="5D233D92" w14:textId="77777777" w:rsidR="00B37C12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2024.</w:t>
            </w:r>
          </w:p>
        </w:tc>
        <w:tc>
          <w:tcPr>
            <w:tcW w:w="3262" w:type="dxa"/>
          </w:tcPr>
          <w:p w14:paraId="2BFDF0D8" w14:textId="77777777" w:rsidR="00B37C12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2.228.168,54 eura</w:t>
            </w:r>
          </w:p>
        </w:tc>
      </w:tr>
      <w:tr w:rsidR="00B37C12" w14:paraId="309C6B3A" w14:textId="77777777" w:rsidTr="00B37C12">
        <w:trPr>
          <w:jc w:val="center"/>
        </w:trPr>
        <w:tc>
          <w:tcPr>
            <w:tcW w:w="3117" w:type="dxa"/>
          </w:tcPr>
          <w:p w14:paraId="40DE249E" w14:textId="77777777" w:rsidR="00B37C12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2025.</w:t>
            </w:r>
          </w:p>
        </w:tc>
        <w:tc>
          <w:tcPr>
            <w:tcW w:w="3262" w:type="dxa"/>
          </w:tcPr>
          <w:p w14:paraId="252FAA13" w14:textId="77777777" w:rsidR="00B37C12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2.188.041,39 eura</w:t>
            </w:r>
          </w:p>
        </w:tc>
      </w:tr>
      <w:tr w:rsidR="00B37C12" w14:paraId="022E29B7" w14:textId="77777777" w:rsidTr="00B37C12">
        <w:trPr>
          <w:jc w:val="center"/>
        </w:trPr>
        <w:tc>
          <w:tcPr>
            <w:tcW w:w="3117" w:type="dxa"/>
          </w:tcPr>
          <w:p w14:paraId="7BCA5F1E" w14:textId="77777777" w:rsidR="00B37C12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2026.</w:t>
            </w:r>
          </w:p>
        </w:tc>
        <w:tc>
          <w:tcPr>
            <w:tcW w:w="3262" w:type="dxa"/>
          </w:tcPr>
          <w:p w14:paraId="1DAFF3F1" w14:textId="77777777" w:rsidR="00B37C12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2.148.833,41 eura</w:t>
            </w:r>
          </w:p>
        </w:tc>
      </w:tr>
      <w:tr w:rsidR="00B37C12" w14:paraId="0FF83299" w14:textId="77777777" w:rsidTr="00B37C12">
        <w:trPr>
          <w:jc w:val="center"/>
        </w:trPr>
        <w:tc>
          <w:tcPr>
            <w:tcW w:w="3117" w:type="dxa"/>
          </w:tcPr>
          <w:p w14:paraId="4002F7B2" w14:textId="77777777" w:rsidR="00B37C12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2027.</w:t>
            </w:r>
          </w:p>
        </w:tc>
        <w:tc>
          <w:tcPr>
            <w:tcW w:w="3262" w:type="dxa"/>
          </w:tcPr>
          <w:p w14:paraId="4CE53391" w14:textId="77777777" w:rsidR="00B37C12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2.109.624,90 eura</w:t>
            </w:r>
          </w:p>
        </w:tc>
      </w:tr>
      <w:tr w:rsidR="00B37C12" w14:paraId="512163A1" w14:textId="77777777" w:rsidTr="00B37C12">
        <w:trPr>
          <w:jc w:val="center"/>
        </w:trPr>
        <w:tc>
          <w:tcPr>
            <w:tcW w:w="3117" w:type="dxa"/>
          </w:tcPr>
          <w:p w14:paraId="3FB9C0CB" w14:textId="77777777" w:rsidR="00B37C12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2028.</w:t>
            </w:r>
          </w:p>
        </w:tc>
        <w:tc>
          <w:tcPr>
            <w:tcW w:w="3262" w:type="dxa"/>
          </w:tcPr>
          <w:p w14:paraId="542601D6" w14:textId="77777777" w:rsidR="00B37C12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2.071.043,20 eura</w:t>
            </w:r>
          </w:p>
        </w:tc>
      </w:tr>
      <w:tr w:rsidR="00B37C12" w14:paraId="61F427B5" w14:textId="77777777" w:rsidTr="00B37C12">
        <w:trPr>
          <w:jc w:val="center"/>
        </w:trPr>
        <w:tc>
          <w:tcPr>
            <w:tcW w:w="3117" w:type="dxa"/>
          </w:tcPr>
          <w:p w14:paraId="08F7FF1E" w14:textId="77777777" w:rsidR="00B37C12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2029.</w:t>
            </w:r>
          </w:p>
        </w:tc>
        <w:tc>
          <w:tcPr>
            <w:tcW w:w="3262" w:type="dxa"/>
          </w:tcPr>
          <w:p w14:paraId="2D02DD65" w14:textId="77777777" w:rsidR="00B37C12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2.031.207,48 eura</w:t>
            </w:r>
          </w:p>
        </w:tc>
      </w:tr>
      <w:tr w:rsidR="00B37C12" w14:paraId="24B826A2" w14:textId="77777777" w:rsidTr="00B37C12">
        <w:trPr>
          <w:jc w:val="center"/>
        </w:trPr>
        <w:tc>
          <w:tcPr>
            <w:tcW w:w="3117" w:type="dxa"/>
          </w:tcPr>
          <w:p w14:paraId="6EA4378C" w14:textId="77777777" w:rsidR="00B37C12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2030.</w:t>
            </w:r>
          </w:p>
        </w:tc>
        <w:tc>
          <w:tcPr>
            <w:tcW w:w="3262" w:type="dxa"/>
          </w:tcPr>
          <w:p w14:paraId="2CF3EC2C" w14:textId="77777777" w:rsidR="00B37C12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1.991.999,32 eura</w:t>
            </w:r>
          </w:p>
        </w:tc>
      </w:tr>
      <w:tr w:rsidR="00B37C12" w14:paraId="5DDDE541" w14:textId="77777777" w:rsidTr="00B37C12">
        <w:trPr>
          <w:jc w:val="center"/>
        </w:trPr>
        <w:tc>
          <w:tcPr>
            <w:tcW w:w="3117" w:type="dxa"/>
          </w:tcPr>
          <w:p w14:paraId="47AED5BD" w14:textId="77777777" w:rsidR="00B37C12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2031.</w:t>
            </w:r>
          </w:p>
        </w:tc>
        <w:tc>
          <w:tcPr>
            <w:tcW w:w="3262" w:type="dxa"/>
          </w:tcPr>
          <w:p w14:paraId="194A990A" w14:textId="77777777" w:rsidR="00B37C12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1.952.790,77</w:t>
            </w:r>
            <w:r>
              <w:rPr>
                <w:sz w:val="24"/>
                <w:szCs w:val="24"/>
              </w:rPr>
              <w:t xml:space="preserve"> </w:t>
            </w:r>
            <w:r w:rsidRPr="00D468EE">
              <w:rPr>
                <w:sz w:val="24"/>
                <w:szCs w:val="24"/>
              </w:rPr>
              <w:t>eura</w:t>
            </w:r>
          </w:p>
        </w:tc>
      </w:tr>
      <w:tr w:rsidR="00B37C12" w14:paraId="31E1E306" w14:textId="77777777" w:rsidTr="00B37C12">
        <w:trPr>
          <w:jc w:val="center"/>
        </w:trPr>
        <w:tc>
          <w:tcPr>
            <w:tcW w:w="3117" w:type="dxa"/>
          </w:tcPr>
          <w:p w14:paraId="24B0D98A" w14:textId="77777777" w:rsidR="00B37C12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2032.</w:t>
            </w:r>
          </w:p>
        </w:tc>
        <w:tc>
          <w:tcPr>
            <w:tcW w:w="3262" w:type="dxa"/>
          </w:tcPr>
          <w:p w14:paraId="2F963E54" w14:textId="77777777" w:rsidR="00B37C12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1.913.917,89 eura</w:t>
            </w:r>
          </w:p>
        </w:tc>
      </w:tr>
      <w:tr w:rsidR="00B37C12" w14:paraId="56264F10" w14:textId="77777777" w:rsidTr="00B37C12">
        <w:trPr>
          <w:jc w:val="center"/>
        </w:trPr>
        <w:tc>
          <w:tcPr>
            <w:tcW w:w="3117" w:type="dxa"/>
          </w:tcPr>
          <w:p w14:paraId="41CF3419" w14:textId="77777777" w:rsidR="00B37C12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2033.</w:t>
            </w:r>
          </w:p>
        </w:tc>
        <w:tc>
          <w:tcPr>
            <w:tcW w:w="3262" w:type="dxa"/>
          </w:tcPr>
          <w:p w14:paraId="450E7188" w14:textId="77777777" w:rsidR="00B37C12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1.874.373,53 eura</w:t>
            </w:r>
          </w:p>
        </w:tc>
      </w:tr>
      <w:tr w:rsidR="00B37C12" w14:paraId="196B5F49" w14:textId="77777777" w:rsidTr="00B37C12">
        <w:trPr>
          <w:jc w:val="center"/>
        </w:trPr>
        <w:tc>
          <w:tcPr>
            <w:tcW w:w="3117" w:type="dxa"/>
          </w:tcPr>
          <w:p w14:paraId="16B3FECB" w14:textId="77777777" w:rsidR="00B37C12" w:rsidRPr="00D468EE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2034.</w:t>
            </w:r>
          </w:p>
        </w:tc>
        <w:tc>
          <w:tcPr>
            <w:tcW w:w="3262" w:type="dxa"/>
          </w:tcPr>
          <w:p w14:paraId="12426D64" w14:textId="77777777" w:rsidR="00B37C12" w:rsidRPr="00D468EE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1.835.165,20 eura</w:t>
            </w:r>
          </w:p>
        </w:tc>
      </w:tr>
      <w:tr w:rsidR="00B37C12" w14:paraId="2D5E9474" w14:textId="77777777" w:rsidTr="00B37C12">
        <w:trPr>
          <w:jc w:val="center"/>
        </w:trPr>
        <w:tc>
          <w:tcPr>
            <w:tcW w:w="3117" w:type="dxa"/>
          </w:tcPr>
          <w:p w14:paraId="473331B6" w14:textId="77777777" w:rsidR="00B37C12" w:rsidRPr="00D468EE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2035.</w:t>
            </w:r>
          </w:p>
        </w:tc>
        <w:tc>
          <w:tcPr>
            <w:tcW w:w="3262" w:type="dxa"/>
          </w:tcPr>
          <w:p w14:paraId="1206E3D1" w14:textId="77777777" w:rsidR="00B37C12" w:rsidRPr="00D468EE" w:rsidRDefault="00B37C12" w:rsidP="00B37C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1.795.956,65 eura</w:t>
            </w:r>
          </w:p>
        </w:tc>
      </w:tr>
      <w:tr w:rsidR="00B37C12" w14:paraId="09CBB2B4" w14:textId="77777777" w:rsidTr="00B37C12">
        <w:trPr>
          <w:jc w:val="center"/>
        </w:trPr>
        <w:tc>
          <w:tcPr>
            <w:tcW w:w="3117" w:type="dxa"/>
          </w:tcPr>
          <w:p w14:paraId="20720394" w14:textId="77777777" w:rsidR="00B37C12" w:rsidRPr="00D468EE" w:rsidRDefault="00B37C12" w:rsidP="00571335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2036.</w:t>
            </w:r>
          </w:p>
        </w:tc>
        <w:tc>
          <w:tcPr>
            <w:tcW w:w="3262" w:type="dxa"/>
          </w:tcPr>
          <w:p w14:paraId="51000BA6" w14:textId="77777777" w:rsidR="00B37C12" w:rsidRPr="00D468EE" w:rsidRDefault="00B37C12" w:rsidP="00571335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468EE">
              <w:rPr>
                <w:sz w:val="24"/>
                <w:szCs w:val="24"/>
              </w:rPr>
              <w:t>1.163.025,25 eura</w:t>
            </w:r>
          </w:p>
        </w:tc>
      </w:tr>
    </w:tbl>
    <w:p w14:paraId="66935D3C" w14:textId="3089294B" w:rsidR="001F46D4" w:rsidRPr="00D468EE" w:rsidRDefault="001F46D4" w:rsidP="00D468EE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6BD9">
        <w:rPr>
          <w:rFonts w:ascii="Times New Roman" w:eastAsia="Times New Roman" w:hAnsi="Times New Roman"/>
          <w:bCs/>
          <w:sz w:val="24"/>
          <w:szCs w:val="24"/>
        </w:rPr>
        <w:t>za davanje pomoći Općoj bolnici „Dr. Anđelko Višić“ Bjelovar za pokriće obveza koje</w:t>
      </w:r>
      <w:r w:rsidRPr="00D468EE">
        <w:rPr>
          <w:rFonts w:ascii="Times New Roman" w:eastAsia="Times New Roman" w:hAnsi="Times New Roman"/>
          <w:bCs/>
          <w:sz w:val="24"/>
          <w:szCs w:val="24"/>
        </w:rPr>
        <w:t xml:space="preserve"> proizlaze iz</w:t>
      </w:r>
      <w:r w:rsidRPr="00D468EE">
        <w:rPr>
          <w:rFonts w:ascii="Times New Roman" w:eastAsia="Times New Roman" w:hAnsi="Times New Roman"/>
          <w:sz w:val="24"/>
          <w:szCs w:val="24"/>
        </w:rPr>
        <w:t xml:space="preserve"> dva ugovora o dugoročnom zaduživanju sklopljenim</w:t>
      </w:r>
      <w:r w:rsidR="005D6BD9">
        <w:rPr>
          <w:rFonts w:ascii="Times New Roman" w:eastAsia="Times New Roman" w:hAnsi="Times New Roman"/>
          <w:sz w:val="24"/>
          <w:szCs w:val="24"/>
        </w:rPr>
        <w:t>a</w:t>
      </w:r>
      <w:r w:rsidRPr="00D468EE">
        <w:rPr>
          <w:rFonts w:ascii="Times New Roman" w:eastAsia="Times New Roman" w:hAnsi="Times New Roman"/>
          <w:sz w:val="24"/>
          <w:szCs w:val="24"/>
        </w:rPr>
        <w:t xml:space="preserve"> s Privrednom bankom Zagreb d.d., u ukupnom iznos</w:t>
      </w:r>
      <w:r w:rsidR="007938BA">
        <w:rPr>
          <w:rFonts w:ascii="Times New Roman" w:eastAsia="Times New Roman" w:hAnsi="Times New Roman"/>
          <w:sz w:val="24"/>
          <w:szCs w:val="24"/>
        </w:rPr>
        <w:t>u od</w:t>
      </w:r>
      <w:bookmarkStart w:id="0" w:name="_GoBack"/>
      <w:bookmarkEnd w:id="0"/>
      <w:r w:rsidRPr="00D468EE">
        <w:rPr>
          <w:rFonts w:ascii="Times New Roman" w:eastAsia="Times New Roman" w:hAnsi="Times New Roman"/>
          <w:sz w:val="24"/>
          <w:szCs w:val="24"/>
        </w:rPr>
        <w:t xml:space="preserve"> 11.301.319,51 eura i sa zajednicom ponuditelja: Privredna banka Zagreb d.d., </w:t>
      </w:r>
      <w:r w:rsidR="005D6BD9">
        <w:rPr>
          <w:rFonts w:ascii="Times New Roman" w:eastAsia="Times New Roman" w:hAnsi="Times New Roman"/>
          <w:sz w:val="24"/>
          <w:szCs w:val="24"/>
        </w:rPr>
        <w:t>Erste&amp;Steiermärkische Bank d.d.</w:t>
      </w:r>
      <w:r w:rsidRPr="00D468EE">
        <w:rPr>
          <w:rFonts w:ascii="Times New Roman" w:eastAsia="Times New Roman" w:hAnsi="Times New Roman"/>
          <w:sz w:val="24"/>
          <w:szCs w:val="24"/>
        </w:rPr>
        <w:t xml:space="preserve"> i Zagrebačka banka d.d., u ukupnom iznosu od 14.002.828,02 eura.</w:t>
      </w:r>
    </w:p>
    <w:p w14:paraId="3E6CA954" w14:textId="77777777" w:rsidR="002C45AD" w:rsidRPr="00D468EE" w:rsidRDefault="002C45AD" w:rsidP="00D468EE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69A8CFE2" w14:textId="77777777" w:rsidR="00C12B53" w:rsidRPr="00D468EE" w:rsidRDefault="00C12B53" w:rsidP="00D468EE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468EE">
        <w:rPr>
          <w:rFonts w:ascii="Times New Roman" w:eastAsia="Times New Roman" w:hAnsi="Times New Roman"/>
          <w:b/>
          <w:sz w:val="24"/>
          <w:szCs w:val="24"/>
        </w:rPr>
        <w:t>II.</w:t>
      </w:r>
    </w:p>
    <w:p w14:paraId="0C3BFF2D" w14:textId="77777777" w:rsidR="001F46D4" w:rsidRPr="00D468EE" w:rsidRDefault="001F46D4" w:rsidP="00D468EE">
      <w:pPr>
        <w:tabs>
          <w:tab w:val="left" w:pos="1418"/>
          <w:tab w:val="center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90E4D" w14:textId="77777777" w:rsidR="001F46D4" w:rsidRPr="00D468EE" w:rsidRDefault="001F46D4" w:rsidP="005D6BD9">
      <w:pPr>
        <w:tabs>
          <w:tab w:val="left" w:pos="1418"/>
          <w:tab w:val="center" w:pos="7088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468EE">
        <w:rPr>
          <w:rFonts w:ascii="Times New Roman" w:hAnsi="Times New Roman"/>
          <w:sz w:val="24"/>
          <w:szCs w:val="24"/>
        </w:rPr>
        <w:t>Daje se suglasnost Ministarstvu zdravstva za preuzimanje obveza na teret sredstava državnog proračuna Republike Hrvatske u 2024. godini</w:t>
      </w:r>
      <w:r w:rsidR="001D42F0">
        <w:rPr>
          <w:rFonts w:ascii="Times New Roman" w:hAnsi="Times New Roman"/>
          <w:sz w:val="24"/>
          <w:szCs w:val="24"/>
        </w:rPr>
        <w:t>,</w:t>
      </w:r>
      <w:r w:rsidRPr="00D468EE">
        <w:rPr>
          <w:rFonts w:ascii="Times New Roman" w:hAnsi="Times New Roman"/>
          <w:sz w:val="24"/>
          <w:szCs w:val="24"/>
        </w:rPr>
        <w:t xml:space="preserve"> u ukupnom </w:t>
      </w:r>
      <w:r w:rsidRPr="001D42F0">
        <w:rPr>
          <w:rFonts w:ascii="Times New Roman" w:hAnsi="Times New Roman"/>
          <w:sz w:val="24"/>
          <w:szCs w:val="24"/>
        </w:rPr>
        <w:t xml:space="preserve">iznosu </w:t>
      </w:r>
      <w:r w:rsidR="002F72A5" w:rsidRPr="001D42F0">
        <w:rPr>
          <w:rFonts w:ascii="Times New Roman" w:hAnsi="Times New Roman"/>
          <w:sz w:val="24"/>
          <w:szCs w:val="24"/>
        </w:rPr>
        <w:t>od</w:t>
      </w:r>
      <w:r w:rsidRPr="001D42F0">
        <w:rPr>
          <w:rFonts w:ascii="Times New Roman" w:hAnsi="Times New Roman"/>
          <w:sz w:val="24"/>
          <w:szCs w:val="24"/>
        </w:rPr>
        <w:t xml:space="preserve"> 2.654.456,17 eura,</w:t>
      </w:r>
      <w:r w:rsidRPr="00D468EE">
        <w:rPr>
          <w:rFonts w:ascii="Times New Roman" w:hAnsi="Times New Roman"/>
          <w:sz w:val="24"/>
          <w:szCs w:val="24"/>
        </w:rPr>
        <w:t xml:space="preserve"> za dovršetak opremanja nove zgrade </w:t>
      </w:r>
      <w:r w:rsidR="001D42F0">
        <w:rPr>
          <w:rFonts w:ascii="Times New Roman" w:hAnsi="Times New Roman"/>
          <w:sz w:val="24"/>
          <w:szCs w:val="24"/>
        </w:rPr>
        <w:t xml:space="preserve">Opće </w:t>
      </w:r>
      <w:r w:rsidR="0021748A">
        <w:rPr>
          <w:rFonts w:ascii="Times New Roman" w:hAnsi="Times New Roman"/>
          <w:sz w:val="24"/>
          <w:szCs w:val="24"/>
        </w:rPr>
        <w:t>b</w:t>
      </w:r>
      <w:r w:rsidR="001D42F0">
        <w:rPr>
          <w:rFonts w:ascii="Times New Roman" w:hAnsi="Times New Roman"/>
          <w:sz w:val="24"/>
          <w:szCs w:val="24"/>
        </w:rPr>
        <w:t>olnice „</w:t>
      </w:r>
      <w:r w:rsidRPr="00D468EE">
        <w:rPr>
          <w:rFonts w:ascii="Times New Roman" w:hAnsi="Times New Roman"/>
          <w:sz w:val="24"/>
          <w:szCs w:val="24"/>
        </w:rPr>
        <w:t>Dr. Anđelko Višić“ Bjelovar.</w:t>
      </w:r>
    </w:p>
    <w:p w14:paraId="7A669F93" w14:textId="77777777" w:rsidR="00015EAD" w:rsidRPr="00D468EE" w:rsidRDefault="00015EAD" w:rsidP="00D468EE">
      <w:pPr>
        <w:tabs>
          <w:tab w:val="left" w:pos="1418"/>
          <w:tab w:val="center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4B121" w14:textId="77777777" w:rsidR="000007D7" w:rsidRPr="00D468EE" w:rsidRDefault="00015EAD" w:rsidP="00D468EE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468EE">
        <w:rPr>
          <w:rFonts w:ascii="Times New Roman" w:eastAsia="Times New Roman" w:hAnsi="Times New Roman"/>
          <w:b/>
          <w:sz w:val="24"/>
          <w:szCs w:val="24"/>
        </w:rPr>
        <w:t>I</w:t>
      </w:r>
      <w:r w:rsidR="000007D7" w:rsidRPr="00D468EE">
        <w:rPr>
          <w:rFonts w:ascii="Times New Roman" w:eastAsia="Times New Roman" w:hAnsi="Times New Roman"/>
          <w:b/>
          <w:sz w:val="24"/>
          <w:szCs w:val="24"/>
        </w:rPr>
        <w:t>I</w:t>
      </w:r>
      <w:r w:rsidRPr="00D468EE">
        <w:rPr>
          <w:rFonts w:ascii="Times New Roman" w:eastAsia="Times New Roman" w:hAnsi="Times New Roman"/>
          <w:b/>
          <w:sz w:val="24"/>
          <w:szCs w:val="24"/>
        </w:rPr>
        <w:t>I.</w:t>
      </w:r>
    </w:p>
    <w:p w14:paraId="250C1A07" w14:textId="77777777" w:rsidR="000007D7" w:rsidRPr="00D468EE" w:rsidRDefault="000007D7" w:rsidP="00D468EE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5C4F4C9E" w14:textId="77777777" w:rsidR="001F46D4" w:rsidRPr="00D468EE" w:rsidRDefault="001F46D4" w:rsidP="001D42F0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D42F0">
        <w:rPr>
          <w:rFonts w:ascii="Times New Roman" w:eastAsia="Times New Roman" w:hAnsi="Times New Roman"/>
          <w:sz w:val="24"/>
          <w:szCs w:val="24"/>
        </w:rPr>
        <w:lastRenderedPageBreak/>
        <w:t>Ministarstvo zdravstva</w:t>
      </w:r>
      <w:r w:rsidR="005A5857" w:rsidRPr="001D42F0">
        <w:rPr>
          <w:rFonts w:ascii="Times New Roman" w:eastAsia="Times New Roman" w:hAnsi="Times New Roman"/>
          <w:sz w:val="24"/>
          <w:szCs w:val="24"/>
        </w:rPr>
        <w:t>,</w:t>
      </w:r>
      <w:r w:rsidR="00060474" w:rsidRPr="001D42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42F0">
        <w:rPr>
          <w:rFonts w:ascii="Times New Roman" w:eastAsia="Times New Roman" w:hAnsi="Times New Roman"/>
          <w:sz w:val="24"/>
          <w:szCs w:val="24"/>
        </w:rPr>
        <w:t>Bjelovarsko-bilogorska županija i Opća bolnica „Dr.</w:t>
      </w:r>
      <w:r w:rsidRPr="00D468EE">
        <w:rPr>
          <w:rFonts w:ascii="Times New Roman" w:eastAsia="Times New Roman" w:hAnsi="Times New Roman"/>
          <w:sz w:val="24"/>
          <w:szCs w:val="24"/>
        </w:rPr>
        <w:t xml:space="preserve"> Anđelko Višić“ Bjelovar sklopit će sporazum o financiranju nastavka realizacije projekta izgradnje i opremanja nove zgrade Opće bolnice </w:t>
      </w:r>
      <w:r w:rsidR="00F7287F">
        <w:rPr>
          <w:rFonts w:ascii="Times New Roman" w:eastAsia="Times New Roman" w:hAnsi="Times New Roman"/>
          <w:sz w:val="24"/>
          <w:szCs w:val="24"/>
        </w:rPr>
        <w:t>„</w:t>
      </w:r>
      <w:r w:rsidRPr="00D468EE">
        <w:rPr>
          <w:rFonts w:ascii="Times New Roman" w:eastAsia="Times New Roman" w:hAnsi="Times New Roman"/>
          <w:sz w:val="24"/>
          <w:szCs w:val="24"/>
        </w:rPr>
        <w:t>Dr. Anđelko Višić</w:t>
      </w:r>
      <w:r w:rsidR="00F7287F">
        <w:rPr>
          <w:rFonts w:ascii="Times New Roman" w:eastAsia="Times New Roman" w:hAnsi="Times New Roman"/>
          <w:sz w:val="24"/>
          <w:szCs w:val="24"/>
        </w:rPr>
        <w:t>“</w:t>
      </w:r>
      <w:r w:rsidRPr="00D468EE">
        <w:rPr>
          <w:rFonts w:ascii="Times New Roman" w:eastAsia="Times New Roman" w:hAnsi="Times New Roman"/>
          <w:sz w:val="24"/>
          <w:szCs w:val="24"/>
        </w:rPr>
        <w:t xml:space="preserve"> Bjelovar.</w:t>
      </w:r>
    </w:p>
    <w:p w14:paraId="693B2D93" w14:textId="77777777" w:rsidR="001661B3" w:rsidRPr="00D468EE" w:rsidRDefault="001661B3" w:rsidP="00D468EE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1E505AFD" w14:textId="77777777" w:rsidR="001661B3" w:rsidRPr="00D468EE" w:rsidRDefault="00146315" w:rsidP="00D468EE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468EE">
        <w:rPr>
          <w:rFonts w:ascii="Times New Roman" w:eastAsia="Times New Roman" w:hAnsi="Times New Roman"/>
          <w:b/>
          <w:sz w:val="24"/>
          <w:szCs w:val="24"/>
        </w:rPr>
        <w:t>I</w:t>
      </w:r>
      <w:r w:rsidR="00015EAD" w:rsidRPr="00D468EE">
        <w:rPr>
          <w:rFonts w:ascii="Times New Roman" w:eastAsia="Times New Roman" w:hAnsi="Times New Roman"/>
          <w:b/>
          <w:sz w:val="24"/>
          <w:szCs w:val="24"/>
        </w:rPr>
        <w:t>V</w:t>
      </w:r>
      <w:r w:rsidRPr="00D468EE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BBF55AF" w14:textId="77777777" w:rsidR="002C45AD" w:rsidRPr="00D468EE" w:rsidRDefault="002C45AD" w:rsidP="00D468EE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4646CFC6" w14:textId="77777777" w:rsidR="00C12B53" w:rsidRPr="00D468EE" w:rsidRDefault="00C12B53" w:rsidP="00D468EE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468EE">
        <w:rPr>
          <w:rFonts w:ascii="Times New Roman" w:eastAsia="Times New Roman" w:hAnsi="Times New Roman"/>
          <w:sz w:val="24"/>
          <w:szCs w:val="24"/>
        </w:rPr>
        <w:t>Ova Odluka stupa na snagu danom donošenja.</w:t>
      </w:r>
    </w:p>
    <w:p w14:paraId="259DB76C" w14:textId="77777777" w:rsidR="00F7287F" w:rsidRPr="00F7287F" w:rsidRDefault="00F7287F" w:rsidP="00F7287F">
      <w:pPr>
        <w:widowControl w:val="0"/>
        <w:tabs>
          <w:tab w:val="left" w:pos="141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E927191" w14:textId="77777777" w:rsidR="00F7287F" w:rsidRPr="00F7287F" w:rsidRDefault="00F7287F" w:rsidP="00F728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31B9E85" w14:textId="77777777" w:rsidR="00F7287F" w:rsidRPr="00F7287F" w:rsidRDefault="00F7287F" w:rsidP="00F728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9D1BCD" w14:textId="77777777" w:rsidR="00F7287F" w:rsidRPr="00F7287F" w:rsidRDefault="00F7287F" w:rsidP="00F728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287F">
        <w:rPr>
          <w:rFonts w:ascii="Times New Roman" w:eastAsia="Times New Roman" w:hAnsi="Times New Roman"/>
          <w:sz w:val="24"/>
          <w:szCs w:val="24"/>
        </w:rPr>
        <w:t>KLASA:</w:t>
      </w:r>
    </w:p>
    <w:p w14:paraId="474045E3" w14:textId="77777777" w:rsidR="00F7287F" w:rsidRPr="00F7287F" w:rsidRDefault="00F7287F" w:rsidP="00F728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287F">
        <w:rPr>
          <w:rFonts w:ascii="Times New Roman" w:eastAsia="Times New Roman" w:hAnsi="Times New Roman"/>
          <w:sz w:val="24"/>
          <w:szCs w:val="24"/>
        </w:rPr>
        <w:t>URBROJ:</w:t>
      </w:r>
    </w:p>
    <w:p w14:paraId="07C5FB12" w14:textId="77777777" w:rsidR="00F7287F" w:rsidRPr="00F7287F" w:rsidRDefault="00F7287F" w:rsidP="00F728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13DA0B4" w14:textId="77777777" w:rsidR="00F7287F" w:rsidRPr="00F7287F" w:rsidRDefault="00F7287F" w:rsidP="00F728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287F">
        <w:rPr>
          <w:rFonts w:ascii="Times New Roman" w:eastAsia="Times New Roman" w:hAnsi="Times New Roman"/>
          <w:sz w:val="24"/>
          <w:szCs w:val="24"/>
        </w:rPr>
        <w:t>Zagreb,</w:t>
      </w:r>
    </w:p>
    <w:p w14:paraId="444AF7F3" w14:textId="77777777" w:rsidR="00F7287F" w:rsidRPr="00F7287F" w:rsidRDefault="00F7287F" w:rsidP="00F728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B1707F6" w14:textId="77777777" w:rsidR="00F7287F" w:rsidRPr="00F7287F" w:rsidRDefault="00F7287F" w:rsidP="00F728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992450" w14:textId="77777777" w:rsidR="00F7287F" w:rsidRPr="00F7287F" w:rsidRDefault="00F7287F" w:rsidP="00F728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12D087" w14:textId="77777777" w:rsidR="00F7287F" w:rsidRPr="00F7287F" w:rsidRDefault="00F7287F" w:rsidP="00F7287F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606"/>
        <w:jc w:val="both"/>
        <w:rPr>
          <w:rFonts w:ascii="Times New Roman" w:eastAsia="Times New Roman" w:hAnsi="Times New Roman"/>
          <w:sz w:val="24"/>
          <w:szCs w:val="24"/>
        </w:rPr>
      </w:pPr>
      <w:r w:rsidRPr="00F7287F">
        <w:rPr>
          <w:rFonts w:ascii="Times New Roman" w:eastAsia="Times New Roman" w:hAnsi="Times New Roman"/>
          <w:sz w:val="24"/>
          <w:szCs w:val="24"/>
        </w:rPr>
        <w:tab/>
        <w:t>PREDSJEDNIK</w:t>
      </w:r>
    </w:p>
    <w:p w14:paraId="37D69F1D" w14:textId="77777777" w:rsidR="00F7287F" w:rsidRPr="00F7287F" w:rsidRDefault="00F7287F" w:rsidP="00F7287F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FA2EDBB" w14:textId="77777777" w:rsidR="00F7287F" w:rsidRPr="00F7287F" w:rsidRDefault="00F7287F" w:rsidP="00F7287F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88702BC" w14:textId="77777777" w:rsidR="00F7287F" w:rsidRDefault="00F7287F" w:rsidP="00F7287F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606"/>
        <w:jc w:val="both"/>
        <w:rPr>
          <w:rFonts w:ascii="Times New Roman" w:eastAsia="Times New Roman" w:hAnsi="Times New Roman"/>
          <w:sz w:val="24"/>
          <w:szCs w:val="24"/>
        </w:rPr>
      </w:pPr>
      <w:r w:rsidRPr="00F7287F">
        <w:rPr>
          <w:rFonts w:ascii="Times New Roman" w:eastAsia="Times New Roman" w:hAnsi="Times New Roman"/>
          <w:sz w:val="24"/>
          <w:szCs w:val="24"/>
        </w:rPr>
        <w:tab/>
        <w:t>mr. sc. Andrej Plenković</w:t>
      </w:r>
    </w:p>
    <w:p w14:paraId="1E80E467" w14:textId="77777777" w:rsidR="00F7287F" w:rsidRDefault="00F7287F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br w:type="page"/>
      </w:r>
    </w:p>
    <w:p w14:paraId="51C711CB" w14:textId="77777777" w:rsidR="000007D7" w:rsidRPr="00D468EE" w:rsidRDefault="000007D7" w:rsidP="00D468E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5D02726F" w14:textId="77777777" w:rsidR="002C45AD" w:rsidRPr="00D468EE" w:rsidRDefault="002C45AD" w:rsidP="00D468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8EE">
        <w:rPr>
          <w:rFonts w:ascii="Times New Roman" w:hAnsi="Times New Roman"/>
          <w:b/>
          <w:sz w:val="24"/>
          <w:szCs w:val="24"/>
        </w:rPr>
        <w:t>O</w:t>
      </w:r>
      <w:r w:rsidR="008770E6">
        <w:rPr>
          <w:rFonts w:ascii="Times New Roman" w:hAnsi="Times New Roman"/>
          <w:b/>
          <w:sz w:val="24"/>
          <w:szCs w:val="24"/>
        </w:rPr>
        <w:t xml:space="preserve"> </w:t>
      </w:r>
      <w:r w:rsidRPr="00D468EE">
        <w:rPr>
          <w:rFonts w:ascii="Times New Roman" w:hAnsi="Times New Roman"/>
          <w:b/>
          <w:sz w:val="24"/>
          <w:szCs w:val="24"/>
        </w:rPr>
        <w:t>B</w:t>
      </w:r>
      <w:r w:rsidR="008770E6">
        <w:rPr>
          <w:rFonts w:ascii="Times New Roman" w:hAnsi="Times New Roman"/>
          <w:b/>
          <w:sz w:val="24"/>
          <w:szCs w:val="24"/>
        </w:rPr>
        <w:t xml:space="preserve"> </w:t>
      </w:r>
      <w:r w:rsidRPr="00D468EE">
        <w:rPr>
          <w:rFonts w:ascii="Times New Roman" w:hAnsi="Times New Roman"/>
          <w:b/>
          <w:sz w:val="24"/>
          <w:szCs w:val="24"/>
        </w:rPr>
        <w:t>R</w:t>
      </w:r>
      <w:r w:rsidR="008770E6">
        <w:rPr>
          <w:rFonts w:ascii="Times New Roman" w:hAnsi="Times New Roman"/>
          <w:b/>
          <w:sz w:val="24"/>
          <w:szCs w:val="24"/>
        </w:rPr>
        <w:t xml:space="preserve"> </w:t>
      </w:r>
      <w:r w:rsidRPr="00D468EE">
        <w:rPr>
          <w:rFonts w:ascii="Times New Roman" w:hAnsi="Times New Roman"/>
          <w:b/>
          <w:sz w:val="24"/>
          <w:szCs w:val="24"/>
        </w:rPr>
        <w:t>A</w:t>
      </w:r>
      <w:r w:rsidR="008770E6">
        <w:rPr>
          <w:rFonts w:ascii="Times New Roman" w:hAnsi="Times New Roman"/>
          <w:b/>
          <w:sz w:val="24"/>
          <w:szCs w:val="24"/>
        </w:rPr>
        <w:t xml:space="preserve"> </w:t>
      </w:r>
      <w:r w:rsidRPr="00D468EE">
        <w:rPr>
          <w:rFonts w:ascii="Times New Roman" w:hAnsi="Times New Roman"/>
          <w:b/>
          <w:sz w:val="24"/>
          <w:szCs w:val="24"/>
        </w:rPr>
        <w:t>Z</w:t>
      </w:r>
      <w:r w:rsidR="008770E6">
        <w:rPr>
          <w:rFonts w:ascii="Times New Roman" w:hAnsi="Times New Roman"/>
          <w:b/>
          <w:sz w:val="24"/>
          <w:szCs w:val="24"/>
        </w:rPr>
        <w:t xml:space="preserve"> </w:t>
      </w:r>
      <w:r w:rsidRPr="00D468EE">
        <w:rPr>
          <w:rFonts w:ascii="Times New Roman" w:hAnsi="Times New Roman"/>
          <w:b/>
          <w:sz w:val="24"/>
          <w:szCs w:val="24"/>
        </w:rPr>
        <w:t>L</w:t>
      </w:r>
      <w:r w:rsidR="008770E6">
        <w:rPr>
          <w:rFonts w:ascii="Times New Roman" w:hAnsi="Times New Roman"/>
          <w:b/>
          <w:sz w:val="24"/>
          <w:szCs w:val="24"/>
        </w:rPr>
        <w:t xml:space="preserve"> </w:t>
      </w:r>
      <w:r w:rsidRPr="00D468EE">
        <w:rPr>
          <w:rFonts w:ascii="Times New Roman" w:hAnsi="Times New Roman"/>
          <w:b/>
          <w:sz w:val="24"/>
          <w:szCs w:val="24"/>
        </w:rPr>
        <w:t>O</w:t>
      </w:r>
      <w:r w:rsidR="008770E6">
        <w:rPr>
          <w:rFonts w:ascii="Times New Roman" w:hAnsi="Times New Roman"/>
          <w:b/>
          <w:sz w:val="24"/>
          <w:szCs w:val="24"/>
        </w:rPr>
        <w:t xml:space="preserve"> </w:t>
      </w:r>
      <w:r w:rsidRPr="00D468EE">
        <w:rPr>
          <w:rFonts w:ascii="Times New Roman" w:hAnsi="Times New Roman"/>
          <w:b/>
          <w:sz w:val="24"/>
          <w:szCs w:val="24"/>
        </w:rPr>
        <w:t>Ž</w:t>
      </w:r>
      <w:r w:rsidR="008770E6">
        <w:rPr>
          <w:rFonts w:ascii="Times New Roman" w:hAnsi="Times New Roman"/>
          <w:b/>
          <w:sz w:val="24"/>
          <w:szCs w:val="24"/>
        </w:rPr>
        <w:t xml:space="preserve"> </w:t>
      </w:r>
      <w:r w:rsidRPr="00D468EE">
        <w:rPr>
          <w:rFonts w:ascii="Times New Roman" w:hAnsi="Times New Roman"/>
          <w:b/>
          <w:sz w:val="24"/>
          <w:szCs w:val="24"/>
        </w:rPr>
        <w:t>E</w:t>
      </w:r>
      <w:r w:rsidR="008770E6">
        <w:rPr>
          <w:rFonts w:ascii="Times New Roman" w:hAnsi="Times New Roman"/>
          <w:b/>
          <w:sz w:val="24"/>
          <w:szCs w:val="24"/>
        </w:rPr>
        <w:t xml:space="preserve"> </w:t>
      </w:r>
      <w:r w:rsidRPr="00D468EE">
        <w:rPr>
          <w:rFonts w:ascii="Times New Roman" w:hAnsi="Times New Roman"/>
          <w:b/>
          <w:sz w:val="24"/>
          <w:szCs w:val="24"/>
        </w:rPr>
        <w:t>N</w:t>
      </w:r>
      <w:r w:rsidR="008770E6">
        <w:rPr>
          <w:rFonts w:ascii="Times New Roman" w:hAnsi="Times New Roman"/>
          <w:b/>
          <w:sz w:val="24"/>
          <w:szCs w:val="24"/>
        </w:rPr>
        <w:t xml:space="preserve"> </w:t>
      </w:r>
      <w:r w:rsidRPr="00D468EE">
        <w:rPr>
          <w:rFonts w:ascii="Times New Roman" w:hAnsi="Times New Roman"/>
          <w:b/>
          <w:sz w:val="24"/>
          <w:szCs w:val="24"/>
        </w:rPr>
        <w:t>J</w:t>
      </w:r>
      <w:r w:rsidR="008770E6">
        <w:rPr>
          <w:rFonts w:ascii="Times New Roman" w:hAnsi="Times New Roman"/>
          <w:b/>
          <w:sz w:val="24"/>
          <w:szCs w:val="24"/>
        </w:rPr>
        <w:t xml:space="preserve"> </w:t>
      </w:r>
      <w:r w:rsidRPr="00D468EE">
        <w:rPr>
          <w:rFonts w:ascii="Times New Roman" w:hAnsi="Times New Roman"/>
          <w:b/>
          <w:sz w:val="24"/>
          <w:szCs w:val="24"/>
        </w:rPr>
        <w:t>E</w:t>
      </w:r>
    </w:p>
    <w:p w14:paraId="41ECF66C" w14:textId="77777777" w:rsidR="002C45AD" w:rsidRPr="00D468EE" w:rsidRDefault="002C45AD" w:rsidP="00D468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B66EDE" w14:textId="77777777" w:rsidR="00B84257" w:rsidRPr="00D468EE" w:rsidRDefault="00B84257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468EE">
        <w:rPr>
          <w:rFonts w:ascii="Times New Roman" w:hAnsi="Times New Roman"/>
          <w:sz w:val="24"/>
          <w:szCs w:val="24"/>
        </w:rPr>
        <w:t>Vlada Republike Hrvatske je donijela Zaključak</w:t>
      </w:r>
      <w:r w:rsidR="008770E6">
        <w:rPr>
          <w:rFonts w:ascii="Times New Roman" w:hAnsi="Times New Roman"/>
          <w:sz w:val="24"/>
          <w:szCs w:val="24"/>
        </w:rPr>
        <w:t>,</w:t>
      </w:r>
      <w:r w:rsidRPr="00D468EE">
        <w:rPr>
          <w:rFonts w:ascii="Times New Roman" w:hAnsi="Times New Roman"/>
          <w:sz w:val="24"/>
          <w:szCs w:val="24"/>
        </w:rPr>
        <w:t xml:space="preserve"> </w:t>
      </w:r>
      <w:r w:rsidR="008770E6" w:rsidRPr="00D468EE">
        <w:rPr>
          <w:rFonts w:ascii="Times New Roman" w:hAnsi="Times New Roman"/>
          <w:sz w:val="24"/>
          <w:szCs w:val="24"/>
        </w:rPr>
        <w:t>KLAS</w:t>
      </w:r>
      <w:r w:rsidR="008770E6">
        <w:rPr>
          <w:rFonts w:ascii="Times New Roman" w:hAnsi="Times New Roman"/>
          <w:sz w:val="24"/>
          <w:szCs w:val="24"/>
        </w:rPr>
        <w:t>A</w:t>
      </w:r>
      <w:r w:rsidRPr="00D468EE">
        <w:rPr>
          <w:rFonts w:ascii="Times New Roman" w:hAnsi="Times New Roman"/>
          <w:sz w:val="24"/>
          <w:szCs w:val="24"/>
        </w:rPr>
        <w:t xml:space="preserve">: 022-03/22-07/392, </w:t>
      </w:r>
      <w:r w:rsidR="008770E6" w:rsidRPr="00D468EE">
        <w:rPr>
          <w:rFonts w:ascii="Times New Roman" w:hAnsi="Times New Roman"/>
          <w:sz w:val="24"/>
          <w:szCs w:val="24"/>
        </w:rPr>
        <w:t>URBROJ</w:t>
      </w:r>
      <w:r w:rsidR="008770E6">
        <w:rPr>
          <w:rFonts w:ascii="Times New Roman" w:hAnsi="Times New Roman"/>
          <w:sz w:val="24"/>
          <w:szCs w:val="24"/>
        </w:rPr>
        <w:t>:</w:t>
      </w:r>
      <w:r w:rsidRPr="00D468EE">
        <w:rPr>
          <w:rFonts w:ascii="Times New Roman" w:hAnsi="Times New Roman"/>
          <w:sz w:val="24"/>
          <w:szCs w:val="24"/>
        </w:rPr>
        <w:t xml:space="preserve"> 50301-04/12-22-1</w:t>
      </w:r>
      <w:r w:rsidR="008770E6">
        <w:rPr>
          <w:rFonts w:ascii="Times New Roman" w:hAnsi="Times New Roman"/>
          <w:sz w:val="24"/>
          <w:szCs w:val="24"/>
        </w:rPr>
        <w:t>,</w:t>
      </w:r>
      <w:r w:rsidRPr="00D468EE">
        <w:rPr>
          <w:rFonts w:ascii="Times New Roman" w:hAnsi="Times New Roman"/>
          <w:sz w:val="24"/>
          <w:szCs w:val="24"/>
        </w:rPr>
        <w:t xml:space="preserve"> od 10. studenoga 2022., kojim se podupire nastavak realizacije projekta izgradnje i opremanja nove zgrade Opće bolnice „Dr. Anđelko Višić“ Bjelovar i zadužuje Ministarstvo zdravstva, Bjelovarsko-bilogorsku županiju i Opću bolnicu „Dr. Anđelko Višić“ Bjelovar</w:t>
      </w:r>
      <w:r w:rsidR="008770E6">
        <w:rPr>
          <w:rFonts w:ascii="Times New Roman" w:hAnsi="Times New Roman"/>
          <w:sz w:val="24"/>
          <w:szCs w:val="24"/>
        </w:rPr>
        <w:t>,</w:t>
      </w:r>
      <w:r w:rsidRPr="00D468EE">
        <w:rPr>
          <w:rFonts w:ascii="Times New Roman" w:hAnsi="Times New Roman"/>
          <w:sz w:val="24"/>
          <w:szCs w:val="24"/>
        </w:rPr>
        <w:t xml:space="preserve"> za poduzimanje radnji za realizaciju projekta izgradnje i opr</w:t>
      </w:r>
      <w:r w:rsidR="00622275" w:rsidRPr="00D468EE">
        <w:rPr>
          <w:rFonts w:ascii="Times New Roman" w:hAnsi="Times New Roman"/>
          <w:sz w:val="24"/>
          <w:szCs w:val="24"/>
        </w:rPr>
        <w:t>emanja nove zgra</w:t>
      </w:r>
      <w:r w:rsidR="00015EAD" w:rsidRPr="00D468EE">
        <w:rPr>
          <w:rFonts w:ascii="Times New Roman" w:hAnsi="Times New Roman"/>
          <w:sz w:val="24"/>
          <w:szCs w:val="24"/>
        </w:rPr>
        <w:t xml:space="preserve">de Opće bolnice „Dr. Anđelko Višić“ </w:t>
      </w:r>
      <w:r w:rsidRPr="00D468EE">
        <w:rPr>
          <w:rFonts w:ascii="Times New Roman" w:hAnsi="Times New Roman"/>
          <w:sz w:val="24"/>
          <w:szCs w:val="24"/>
        </w:rPr>
        <w:t>Bjelovar sukladno raspoloživim fiskalnim mogućnostima državnog</w:t>
      </w:r>
      <w:r w:rsidR="00205BA4" w:rsidRPr="00D468EE">
        <w:rPr>
          <w:rFonts w:ascii="Times New Roman" w:hAnsi="Times New Roman"/>
          <w:sz w:val="24"/>
          <w:szCs w:val="24"/>
        </w:rPr>
        <w:t xml:space="preserve"> proračuna Republike Hrvatske. </w:t>
      </w:r>
      <w:r w:rsidRPr="00D468EE">
        <w:rPr>
          <w:rFonts w:ascii="Times New Roman" w:hAnsi="Times New Roman"/>
          <w:sz w:val="24"/>
          <w:szCs w:val="24"/>
        </w:rPr>
        <w:t>Navedenim Zaključkom ostvareni su preduvjeti za osiguranje sredstava u državnom proračunu za otplatu anuiteta kredita do najviše 2.389.010,55 eura godišnje i nabavu opreme u iznosu do najviše 9.290.596,59 eura</w:t>
      </w:r>
      <w:r w:rsidR="008770E6">
        <w:rPr>
          <w:rFonts w:ascii="Times New Roman" w:hAnsi="Times New Roman"/>
          <w:sz w:val="24"/>
          <w:szCs w:val="24"/>
        </w:rPr>
        <w:t>,</w:t>
      </w:r>
      <w:r w:rsidRPr="00D468EE">
        <w:rPr>
          <w:rFonts w:ascii="Times New Roman" w:hAnsi="Times New Roman"/>
          <w:sz w:val="24"/>
          <w:szCs w:val="24"/>
        </w:rPr>
        <w:t xml:space="preserve"> </w:t>
      </w:r>
      <w:r w:rsidR="00916083" w:rsidRPr="00D468EE">
        <w:rPr>
          <w:rFonts w:ascii="Times New Roman" w:hAnsi="Times New Roman"/>
          <w:sz w:val="24"/>
          <w:szCs w:val="24"/>
        </w:rPr>
        <w:t xml:space="preserve">u razdoblju od dvije godine </w:t>
      </w:r>
      <w:r w:rsidRPr="00D468EE">
        <w:rPr>
          <w:rFonts w:ascii="Times New Roman" w:hAnsi="Times New Roman"/>
          <w:sz w:val="24"/>
          <w:szCs w:val="24"/>
        </w:rPr>
        <w:t>za potrebe nastavka realizacije projekta izgradnje i opremanja nove zgrade Opće bolnice „Dr. Anđelko Višić“ Bjelovar.</w:t>
      </w:r>
    </w:p>
    <w:p w14:paraId="03C80821" w14:textId="77777777" w:rsidR="00B84257" w:rsidRDefault="00B84257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BEC866C" w14:textId="77777777" w:rsidR="008770E6" w:rsidRPr="008770E6" w:rsidRDefault="008770E6" w:rsidP="00877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770E6">
        <w:rPr>
          <w:rFonts w:ascii="Times New Roman" w:eastAsia="Times New Roman" w:hAnsi="Times New Roman"/>
          <w:sz w:val="24"/>
          <w:szCs w:val="24"/>
          <w:lang w:eastAsia="hr-HR"/>
        </w:rPr>
        <w:t>Opća bolnica „Dr. Anđelko Višić“ Bjelovar je sklopila dva ugovora o dugoročnom zaduživanju za financiranje izgradnje nove zgrade i to:</w:t>
      </w:r>
    </w:p>
    <w:p w14:paraId="2BEDAC0F" w14:textId="77777777" w:rsidR="008770E6" w:rsidRPr="008770E6" w:rsidRDefault="008770E6" w:rsidP="008770E6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770E6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8770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770E6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s </w:t>
      </w:r>
      <w:r w:rsidRPr="008770E6">
        <w:rPr>
          <w:rFonts w:ascii="Times New Roman" w:eastAsia="Times New Roman" w:hAnsi="Times New Roman"/>
          <w:sz w:val="24"/>
          <w:szCs w:val="24"/>
          <w:lang w:eastAsia="hr-HR"/>
        </w:rPr>
        <w:t>Privrednom bankom Zagreb d.d., u iznosu od 11.945.052,76 eura, uz kamatnu stopu od 2,5 % godišnje, od kojeg je do sada je otplaćeno 2.000.869,88 eura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Pr="00D468EE">
        <w:rPr>
          <w:rFonts w:ascii="Times New Roman" w:hAnsi="Times New Roman"/>
          <w:sz w:val="24"/>
          <w:szCs w:val="24"/>
        </w:rPr>
        <w:t>glavnice 1.393.589,49 eura</w:t>
      </w:r>
      <w:r>
        <w:rPr>
          <w:rFonts w:ascii="Times New Roman" w:hAnsi="Times New Roman"/>
          <w:sz w:val="24"/>
          <w:szCs w:val="24"/>
        </w:rPr>
        <w:t>,</w:t>
      </w:r>
      <w:r w:rsidRPr="00D468EE">
        <w:rPr>
          <w:rFonts w:ascii="Times New Roman" w:hAnsi="Times New Roman"/>
          <w:sz w:val="24"/>
          <w:szCs w:val="24"/>
        </w:rPr>
        <w:t xml:space="preserve"> 504.319,01 eura kamate i 102.961,38 eura interkalarne kamate</w:t>
      </w:r>
      <w:r>
        <w:rPr>
          <w:rFonts w:ascii="Times New Roman" w:hAnsi="Times New Roman"/>
          <w:sz w:val="24"/>
          <w:szCs w:val="24"/>
        </w:rPr>
        <w:t>)</w:t>
      </w:r>
      <w:r w:rsidRPr="008770E6">
        <w:rPr>
          <w:rFonts w:ascii="Times New Roman" w:eastAsia="Times New Roman" w:hAnsi="Times New Roman"/>
          <w:sz w:val="24"/>
          <w:szCs w:val="24"/>
          <w:lang w:eastAsia="hr-HR"/>
        </w:rPr>
        <w:t xml:space="preserve">, a za otplatu je ostalo još ukupno s kamatom i glavnicom 12.357.488,90 eura, otplata kredita započela je 30. lipnja 2021. iz decentraliziranih sredstava, a rok otplate je 31. prosinca 2036. </w:t>
      </w:r>
    </w:p>
    <w:p w14:paraId="57EE9895" w14:textId="77777777" w:rsidR="008770E6" w:rsidRPr="008770E6" w:rsidRDefault="008770E6" w:rsidP="008770E6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770E6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-</w:t>
      </w:r>
      <w:r w:rsidRPr="008770E6">
        <w:rPr>
          <w:rFonts w:ascii="Times New Roman" w:eastAsia="Times New Roman" w:hAnsi="Times New Roman"/>
          <w:sz w:val="24"/>
          <w:szCs w:val="24"/>
          <w:lang w:eastAsia="hr-HR"/>
        </w:rPr>
        <w:tab/>
        <w:t>sa zajednicom ponuditelja: Privredna banka Zagreb d.d., Erste&amp;Steiermärkische Bank d.d. i Zagrebačka banka d.d., u iznosu od 14.267.701,90 eura, s rokom otplate od 15 godina, uz fiksnu kamatnu stopu od 2 %, od kojeg je do sada po osnovi otplate kredita otplaćeno 1.358.857,39 eura</w:t>
      </w:r>
      <w:r w:rsidR="00F15148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F15148" w:rsidRPr="00D468EE">
        <w:rPr>
          <w:rFonts w:ascii="Times New Roman" w:hAnsi="Times New Roman"/>
          <w:sz w:val="24"/>
          <w:szCs w:val="24"/>
        </w:rPr>
        <w:t>951.510,25 eura glavnice</w:t>
      </w:r>
      <w:r w:rsidR="00F15148">
        <w:rPr>
          <w:rFonts w:ascii="Times New Roman" w:hAnsi="Times New Roman"/>
          <w:sz w:val="24"/>
          <w:szCs w:val="24"/>
        </w:rPr>
        <w:t>,</w:t>
      </w:r>
      <w:r w:rsidR="00F15148" w:rsidRPr="00D468EE">
        <w:rPr>
          <w:rFonts w:ascii="Times New Roman" w:hAnsi="Times New Roman"/>
          <w:sz w:val="24"/>
          <w:szCs w:val="24"/>
        </w:rPr>
        <w:t xml:space="preserve"> 301.560,50 eura kamate</w:t>
      </w:r>
      <w:r w:rsidR="00F15148">
        <w:rPr>
          <w:rFonts w:ascii="Times New Roman" w:hAnsi="Times New Roman"/>
          <w:sz w:val="24"/>
          <w:szCs w:val="24"/>
        </w:rPr>
        <w:t xml:space="preserve"> i</w:t>
      </w:r>
      <w:r w:rsidR="00F15148" w:rsidRPr="00D468EE">
        <w:rPr>
          <w:rFonts w:ascii="Times New Roman" w:hAnsi="Times New Roman"/>
          <w:sz w:val="24"/>
          <w:szCs w:val="24"/>
        </w:rPr>
        <w:t xml:space="preserve"> 105.786,64 eura interkalarne kamate</w:t>
      </w:r>
      <w:r w:rsidR="00F15148">
        <w:rPr>
          <w:rFonts w:ascii="Times New Roman" w:hAnsi="Times New Roman"/>
          <w:sz w:val="24"/>
          <w:szCs w:val="24"/>
        </w:rPr>
        <w:t>)</w:t>
      </w:r>
      <w:r w:rsidRPr="008770E6">
        <w:rPr>
          <w:rFonts w:ascii="Times New Roman" w:eastAsia="Times New Roman" w:hAnsi="Times New Roman"/>
          <w:sz w:val="24"/>
          <w:szCs w:val="24"/>
          <w:lang w:eastAsia="hr-HR"/>
        </w:rPr>
        <w:t>, a preostali iznos ukupno za otplatu s glavnicom i kamatom iznosi 15.213.117,63 eura, otplata kredita započela je 31. ožujka 2022. te traje do 31. prosinca 2036.</w:t>
      </w:r>
    </w:p>
    <w:p w14:paraId="776083DC" w14:textId="77777777" w:rsidR="008770E6" w:rsidRPr="008770E6" w:rsidRDefault="008770E6" w:rsidP="00877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CAF992A" w14:textId="77777777" w:rsidR="00EE19AD" w:rsidRDefault="00575419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8EE">
        <w:rPr>
          <w:rFonts w:ascii="Times New Roman" w:hAnsi="Times New Roman"/>
          <w:sz w:val="24"/>
          <w:szCs w:val="24"/>
        </w:rPr>
        <w:t xml:space="preserve">Ukupna obveza Opće bolnice „Dr. Anđelko Višić“ Bjelovar po oba kredita iznosi 30.721.585,78 eura i obveza za interkalarnu kamatu od 208.748,02 eura, što ukupno iznosi 30.930.333,80 eura, od čega je OB Bjelovar do 31. prosinca 2022. otplatila iznos od </w:t>
      </w:r>
      <w:r w:rsidR="00EE19AD" w:rsidRPr="00D468EE">
        <w:rPr>
          <w:rFonts w:ascii="Times New Roman" w:hAnsi="Times New Roman"/>
          <w:sz w:val="24"/>
          <w:szCs w:val="24"/>
        </w:rPr>
        <w:t>3.359.727,27 eura</w:t>
      </w:r>
      <w:r w:rsidR="00EE19AD">
        <w:rPr>
          <w:rFonts w:ascii="Times New Roman" w:hAnsi="Times New Roman"/>
          <w:sz w:val="24"/>
          <w:szCs w:val="24"/>
        </w:rPr>
        <w:t xml:space="preserve"> (</w:t>
      </w:r>
      <w:r w:rsidRPr="00D468EE">
        <w:rPr>
          <w:rFonts w:ascii="Times New Roman" w:hAnsi="Times New Roman"/>
          <w:sz w:val="24"/>
          <w:szCs w:val="24"/>
        </w:rPr>
        <w:t>3.150.979,25 eura glavnice i 208.748,02 eura interkalarne kamate</w:t>
      </w:r>
      <w:r w:rsidR="00EE19AD">
        <w:rPr>
          <w:rFonts w:ascii="Times New Roman" w:hAnsi="Times New Roman"/>
          <w:sz w:val="24"/>
          <w:szCs w:val="24"/>
        </w:rPr>
        <w:t>).</w:t>
      </w:r>
    </w:p>
    <w:p w14:paraId="0793BF0C" w14:textId="77777777" w:rsidR="00EE19AD" w:rsidRDefault="00EE19AD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4DA38" w14:textId="77777777" w:rsidR="00EE19AD" w:rsidRDefault="00EE19AD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9D506C" w:rsidRPr="00D468EE">
        <w:rPr>
          <w:rFonts w:ascii="Times New Roman" w:hAnsi="Times New Roman"/>
          <w:sz w:val="24"/>
          <w:szCs w:val="24"/>
        </w:rPr>
        <w:t xml:space="preserve"> 2023. preostaje obveza za otplatu</w:t>
      </w:r>
      <w:r w:rsidR="00F43FB3" w:rsidRPr="00D46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kredita </w:t>
      </w:r>
      <w:r w:rsidR="009D506C" w:rsidRPr="00D468EE">
        <w:rPr>
          <w:rFonts w:ascii="Times New Roman" w:hAnsi="Times New Roman"/>
          <w:sz w:val="24"/>
          <w:szCs w:val="24"/>
        </w:rPr>
        <w:t>u iznosu od 2.266.459</w:t>
      </w:r>
      <w:r>
        <w:rPr>
          <w:rFonts w:ascii="Times New Roman" w:hAnsi="Times New Roman"/>
          <w:sz w:val="24"/>
          <w:szCs w:val="24"/>
        </w:rPr>
        <w:t>,00</w:t>
      </w:r>
      <w:r w:rsidR="009D506C" w:rsidRPr="00D468EE">
        <w:rPr>
          <w:rFonts w:ascii="Times New Roman" w:hAnsi="Times New Roman"/>
          <w:sz w:val="24"/>
          <w:szCs w:val="24"/>
        </w:rPr>
        <w:t xml:space="preserve"> eura </w:t>
      </w:r>
      <w:r w:rsidR="00622275" w:rsidRPr="00D468EE">
        <w:rPr>
          <w:rFonts w:ascii="Times New Roman" w:hAnsi="Times New Roman"/>
          <w:sz w:val="24"/>
          <w:szCs w:val="24"/>
        </w:rPr>
        <w:t>iz čega proizlazi da za otplatu kredita u razdoblju od 202</w:t>
      </w:r>
      <w:r w:rsidR="00590DB5" w:rsidRPr="00D468EE">
        <w:rPr>
          <w:rFonts w:ascii="Times New Roman" w:hAnsi="Times New Roman"/>
          <w:sz w:val="24"/>
          <w:szCs w:val="24"/>
        </w:rPr>
        <w:t>4</w:t>
      </w:r>
      <w:r w:rsidR="00622275" w:rsidRPr="00D468EE">
        <w:rPr>
          <w:rFonts w:ascii="Times New Roman" w:hAnsi="Times New Roman"/>
          <w:sz w:val="24"/>
          <w:szCs w:val="24"/>
        </w:rPr>
        <w:t xml:space="preserve">. do 2036. godine treba osigurati sredstva u ukupnom iznosu od </w:t>
      </w:r>
      <w:r w:rsidR="00590DB5" w:rsidRPr="00D468EE">
        <w:rPr>
          <w:rFonts w:ascii="Times New Roman" w:hAnsi="Times New Roman"/>
          <w:sz w:val="24"/>
          <w:szCs w:val="24"/>
        </w:rPr>
        <w:t xml:space="preserve">25.304.147,53 </w:t>
      </w:r>
      <w:r w:rsidR="00F43FB3" w:rsidRPr="00D468EE">
        <w:rPr>
          <w:rFonts w:ascii="Times New Roman" w:hAnsi="Times New Roman"/>
          <w:sz w:val="24"/>
          <w:szCs w:val="24"/>
        </w:rPr>
        <w:t>eura</w:t>
      </w:r>
      <w:r w:rsidR="00622275" w:rsidRPr="00D468EE">
        <w:rPr>
          <w:rFonts w:ascii="Times New Roman" w:hAnsi="Times New Roman"/>
          <w:sz w:val="24"/>
          <w:szCs w:val="24"/>
        </w:rPr>
        <w:t xml:space="preserve">. </w:t>
      </w:r>
    </w:p>
    <w:p w14:paraId="1D046C4A" w14:textId="77777777" w:rsidR="00EE19AD" w:rsidRDefault="00EE19AD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BB1378" w14:textId="77777777" w:rsidR="00EE19AD" w:rsidRDefault="00622275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8EE">
        <w:rPr>
          <w:rFonts w:ascii="Times New Roman" w:hAnsi="Times New Roman"/>
          <w:sz w:val="24"/>
          <w:szCs w:val="24"/>
        </w:rPr>
        <w:t xml:space="preserve">U </w:t>
      </w:r>
      <w:r w:rsidR="00590DB5" w:rsidRPr="00D468EE">
        <w:rPr>
          <w:rFonts w:ascii="Times New Roman" w:hAnsi="Times New Roman"/>
          <w:sz w:val="24"/>
          <w:szCs w:val="24"/>
        </w:rPr>
        <w:t>D</w:t>
      </w:r>
      <w:r w:rsidRPr="00D468EE">
        <w:rPr>
          <w:rFonts w:ascii="Times New Roman" w:hAnsi="Times New Roman"/>
          <w:sz w:val="24"/>
          <w:szCs w:val="24"/>
        </w:rPr>
        <w:t xml:space="preserve">ržavnom proračunu Republike Hrvatske za 2023. godinu i projekcijama za 2024. </w:t>
      </w:r>
      <w:r w:rsidR="00590DB5" w:rsidRPr="00D468EE">
        <w:rPr>
          <w:rFonts w:ascii="Times New Roman" w:hAnsi="Times New Roman"/>
          <w:sz w:val="24"/>
          <w:szCs w:val="24"/>
        </w:rPr>
        <w:t xml:space="preserve">i 2025. godinu </w:t>
      </w:r>
      <w:r w:rsidR="009D506C" w:rsidRPr="00D468EE">
        <w:rPr>
          <w:rFonts w:ascii="Times New Roman" w:hAnsi="Times New Roman"/>
          <w:sz w:val="24"/>
          <w:szCs w:val="24"/>
        </w:rPr>
        <w:t xml:space="preserve">za provedbu </w:t>
      </w:r>
      <w:r w:rsidR="00EE19AD">
        <w:rPr>
          <w:rFonts w:ascii="Times New Roman" w:hAnsi="Times New Roman"/>
          <w:sz w:val="24"/>
          <w:szCs w:val="24"/>
        </w:rPr>
        <w:t>ove od</w:t>
      </w:r>
      <w:r w:rsidR="009D506C" w:rsidRPr="00D468EE">
        <w:rPr>
          <w:rFonts w:ascii="Times New Roman" w:hAnsi="Times New Roman"/>
          <w:sz w:val="24"/>
          <w:szCs w:val="24"/>
        </w:rPr>
        <w:t xml:space="preserve">luke </w:t>
      </w:r>
      <w:r w:rsidRPr="00D468EE">
        <w:rPr>
          <w:rFonts w:ascii="Times New Roman" w:hAnsi="Times New Roman"/>
          <w:sz w:val="24"/>
          <w:szCs w:val="24"/>
        </w:rPr>
        <w:t xml:space="preserve">osigurana su sredstva u iznosu od </w:t>
      </w:r>
      <w:r w:rsidR="002448C5" w:rsidRPr="00D468EE">
        <w:rPr>
          <w:rFonts w:ascii="Times New Roman" w:hAnsi="Times New Roman"/>
          <w:sz w:val="24"/>
          <w:szCs w:val="24"/>
        </w:rPr>
        <w:t>2.228.168,54</w:t>
      </w:r>
      <w:r w:rsidR="00590DB5" w:rsidRPr="00D468EE">
        <w:rPr>
          <w:rFonts w:ascii="Times New Roman" w:hAnsi="Times New Roman"/>
          <w:sz w:val="24"/>
          <w:szCs w:val="24"/>
        </w:rPr>
        <w:t xml:space="preserve"> </w:t>
      </w:r>
      <w:r w:rsidR="00F43FB3" w:rsidRPr="00D468EE">
        <w:rPr>
          <w:rFonts w:ascii="Times New Roman" w:hAnsi="Times New Roman"/>
          <w:sz w:val="24"/>
          <w:szCs w:val="24"/>
        </w:rPr>
        <w:t>eura</w:t>
      </w:r>
      <w:r w:rsidRPr="00D468EE">
        <w:rPr>
          <w:rFonts w:ascii="Times New Roman" w:hAnsi="Times New Roman"/>
          <w:sz w:val="24"/>
          <w:szCs w:val="24"/>
        </w:rPr>
        <w:t xml:space="preserve"> </w:t>
      </w:r>
      <w:r w:rsidR="00000854" w:rsidRPr="00D468EE">
        <w:rPr>
          <w:rFonts w:ascii="Times New Roman" w:hAnsi="Times New Roman"/>
          <w:sz w:val="24"/>
          <w:szCs w:val="24"/>
        </w:rPr>
        <w:t xml:space="preserve">u </w:t>
      </w:r>
      <w:r w:rsidRPr="00D468EE">
        <w:rPr>
          <w:rFonts w:ascii="Times New Roman" w:hAnsi="Times New Roman"/>
          <w:sz w:val="24"/>
          <w:szCs w:val="24"/>
        </w:rPr>
        <w:t xml:space="preserve">2024. </w:t>
      </w:r>
      <w:r w:rsidR="00EE19AD">
        <w:rPr>
          <w:rFonts w:ascii="Times New Roman" w:hAnsi="Times New Roman"/>
          <w:sz w:val="24"/>
          <w:szCs w:val="24"/>
        </w:rPr>
        <w:t>te</w:t>
      </w:r>
      <w:r w:rsidR="002448C5" w:rsidRPr="00D468EE">
        <w:rPr>
          <w:rFonts w:ascii="Times New Roman" w:hAnsi="Times New Roman"/>
          <w:sz w:val="24"/>
          <w:szCs w:val="24"/>
        </w:rPr>
        <w:t xml:space="preserve"> </w:t>
      </w:r>
      <w:r w:rsidRPr="00D468EE">
        <w:rPr>
          <w:rFonts w:ascii="Times New Roman" w:hAnsi="Times New Roman"/>
          <w:sz w:val="24"/>
          <w:szCs w:val="24"/>
        </w:rPr>
        <w:t xml:space="preserve">iznos od </w:t>
      </w:r>
      <w:r w:rsidR="002448C5" w:rsidRPr="00D468EE">
        <w:rPr>
          <w:rFonts w:ascii="Times New Roman" w:hAnsi="Times New Roman"/>
          <w:sz w:val="24"/>
          <w:szCs w:val="24"/>
        </w:rPr>
        <w:t>2.188.041,39 eura</w:t>
      </w:r>
      <w:r w:rsidR="00EE19AD">
        <w:rPr>
          <w:rFonts w:ascii="Times New Roman" w:hAnsi="Times New Roman"/>
          <w:sz w:val="24"/>
          <w:szCs w:val="24"/>
        </w:rPr>
        <w:t xml:space="preserve"> u 2025., </w:t>
      </w:r>
      <w:r w:rsidRPr="00D468EE">
        <w:rPr>
          <w:rFonts w:ascii="Times New Roman" w:hAnsi="Times New Roman"/>
          <w:sz w:val="24"/>
          <w:szCs w:val="24"/>
        </w:rPr>
        <w:t xml:space="preserve">na razdjelu 096 </w:t>
      </w:r>
      <w:r w:rsidR="00EE19AD">
        <w:rPr>
          <w:rFonts w:ascii="Times New Roman" w:hAnsi="Times New Roman"/>
          <w:sz w:val="24"/>
          <w:szCs w:val="24"/>
        </w:rPr>
        <w:t>-</w:t>
      </w:r>
      <w:r w:rsidRPr="00D468EE">
        <w:rPr>
          <w:rFonts w:ascii="Times New Roman" w:hAnsi="Times New Roman"/>
          <w:sz w:val="24"/>
          <w:szCs w:val="24"/>
        </w:rPr>
        <w:t xml:space="preserve"> Ministarstvo zdravstva, kapitalni projekt K794010 </w:t>
      </w:r>
      <w:r w:rsidR="00EE19AD">
        <w:rPr>
          <w:rFonts w:ascii="Times New Roman" w:hAnsi="Times New Roman"/>
          <w:sz w:val="24"/>
          <w:szCs w:val="24"/>
        </w:rPr>
        <w:t>-</w:t>
      </w:r>
      <w:r w:rsidRPr="00D468EE">
        <w:rPr>
          <w:rFonts w:ascii="Times New Roman" w:hAnsi="Times New Roman"/>
          <w:sz w:val="24"/>
          <w:szCs w:val="24"/>
        </w:rPr>
        <w:t xml:space="preserve"> OB Bjelovar, skupina računa 36 </w:t>
      </w:r>
      <w:r w:rsidR="00EE19AD">
        <w:rPr>
          <w:rFonts w:ascii="Times New Roman" w:hAnsi="Times New Roman"/>
          <w:sz w:val="24"/>
          <w:szCs w:val="24"/>
        </w:rPr>
        <w:t>-</w:t>
      </w:r>
      <w:r w:rsidRPr="00D468EE">
        <w:rPr>
          <w:rFonts w:ascii="Times New Roman" w:hAnsi="Times New Roman"/>
          <w:sz w:val="24"/>
          <w:szCs w:val="24"/>
        </w:rPr>
        <w:t xml:space="preserve"> Pomoći dane u inozemstvo i unutar općeg proračuna, izvor financiranja 11 </w:t>
      </w:r>
      <w:r w:rsidR="00EE19AD">
        <w:rPr>
          <w:rFonts w:ascii="Times New Roman" w:hAnsi="Times New Roman"/>
          <w:sz w:val="24"/>
          <w:szCs w:val="24"/>
        </w:rPr>
        <w:t>-</w:t>
      </w:r>
      <w:r w:rsidRPr="00D468EE">
        <w:rPr>
          <w:rFonts w:ascii="Times New Roman" w:hAnsi="Times New Roman"/>
          <w:sz w:val="24"/>
          <w:szCs w:val="24"/>
        </w:rPr>
        <w:t xml:space="preserve"> opći prihodi i primici.</w:t>
      </w:r>
    </w:p>
    <w:p w14:paraId="1CE6D277" w14:textId="77777777" w:rsidR="00EE19AD" w:rsidRDefault="00EE19AD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24D9F9" w14:textId="77777777" w:rsidR="00EE19AD" w:rsidRDefault="00622275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8EE">
        <w:rPr>
          <w:rFonts w:ascii="Times New Roman" w:hAnsi="Times New Roman"/>
          <w:sz w:val="24"/>
          <w:szCs w:val="24"/>
        </w:rPr>
        <w:lastRenderedPageBreak/>
        <w:t xml:space="preserve">Preostali iznos od 20.887.937,60 </w:t>
      </w:r>
      <w:r w:rsidR="009240E3" w:rsidRPr="00D468EE">
        <w:rPr>
          <w:rFonts w:ascii="Times New Roman" w:hAnsi="Times New Roman"/>
          <w:sz w:val="24"/>
          <w:szCs w:val="24"/>
        </w:rPr>
        <w:t>eura</w:t>
      </w:r>
      <w:r w:rsidRPr="00D468EE">
        <w:rPr>
          <w:rFonts w:ascii="Times New Roman" w:hAnsi="Times New Roman"/>
          <w:sz w:val="24"/>
          <w:szCs w:val="24"/>
        </w:rPr>
        <w:t xml:space="preserve"> osigurat će se na isti način sukladno </w:t>
      </w:r>
      <w:r w:rsidR="00EE19AD">
        <w:rPr>
          <w:rFonts w:ascii="Times New Roman" w:hAnsi="Times New Roman"/>
          <w:sz w:val="24"/>
          <w:szCs w:val="24"/>
        </w:rPr>
        <w:t>o</w:t>
      </w:r>
      <w:r w:rsidRPr="00D468EE">
        <w:rPr>
          <w:rFonts w:ascii="Times New Roman" w:hAnsi="Times New Roman"/>
          <w:sz w:val="24"/>
          <w:szCs w:val="24"/>
        </w:rPr>
        <w:t xml:space="preserve">dluci o proračunskom okviru za iduća trogodišnja razdoblja do 2036. godine i dobivenim limitima ukupnih rashoda za Razdjel 096 </w:t>
      </w:r>
      <w:r w:rsidR="00EE19AD">
        <w:rPr>
          <w:rFonts w:ascii="Times New Roman" w:hAnsi="Times New Roman"/>
          <w:sz w:val="24"/>
          <w:szCs w:val="24"/>
        </w:rPr>
        <w:t>-</w:t>
      </w:r>
      <w:r w:rsidRPr="00D468EE">
        <w:rPr>
          <w:rFonts w:ascii="Times New Roman" w:hAnsi="Times New Roman"/>
          <w:sz w:val="24"/>
          <w:szCs w:val="24"/>
        </w:rPr>
        <w:t xml:space="preserve"> Ministarstvo zdravstva i to u</w:t>
      </w:r>
    </w:p>
    <w:p w14:paraId="46CB0EE2" w14:textId="77777777" w:rsidR="00EE19AD" w:rsidRDefault="00EE19AD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622275" w:rsidRPr="00D468EE">
        <w:rPr>
          <w:rFonts w:ascii="Times New Roman" w:hAnsi="Times New Roman"/>
          <w:sz w:val="24"/>
          <w:szCs w:val="24"/>
        </w:rPr>
        <w:t xml:space="preserve">2026. godini u iznosu od 2.148.833,41 </w:t>
      </w:r>
      <w:r w:rsidR="00F43FB3" w:rsidRPr="00D468EE">
        <w:rPr>
          <w:rFonts w:ascii="Times New Roman" w:hAnsi="Times New Roman"/>
          <w:sz w:val="24"/>
          <w:szCs w:val="24"/>
        </w:rPr>
        <w:t>eura</w:t>
      </w:r>
    </w:p>
    <w:p w14:paraId="7706BD61" w14:textId="77777777" w:rsidR="00EE19AD" w:rsidRDefault="00EE19AD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622275" w:rsidRPr="00D468EE">
        <w:rPr>
          <w:rFonts w:ascii="Times New Roman" w:hAnsi="Times New Roman"/>
          <w:sz w:val="24"/>
          <w:szCs w:val="24"/>
        </w:rPr>
        <w:t xml:space="preserve">2027. godini u iznosu </w:t>
      </w:r>
      <w:r>
        <w:rPr>
          <w:rFonts w:ascii="Times New Roman" w:hAnsi="Times New Roman"/>
          <w:sz w:val="24"/>
          <w:szCs w:val="24"/>
        </w:rPr>
        <w:t xml:space="preserve">od </w:t>
      </w:r>
      <w:r w:rsidR="00622275" w:rsidRPr="00D468EE">
        <w:rPr>
          <w:rFonts w:ascii="Times New Roman" w:hAnsi="Times New Roman"/>
          <w:sz w:val="24"/>
          <w:szCs w:val="24"/>
        </w:rPr>
        <w:t xml:space="preserve">2.109.624,90 </w:t>
      </w:r>
      <w:r w:rsidR="00F43FB3" w:rsidRPr="00D468EE">
        <w:rPr>
          <w:rFonts w:ascii="Times New Roman" w:hAnsi="Times New Roman"/>
          <w:sz w:val="24"/>
          <w:szCs w:val="24"/>
        </w:rPr>
        <w:t>eura</w:t>
      </w:r>
    </w:p>
    <w:p w14:paraId="589C24CD" w14:textId="77777777" w:rsidR="00EE19AD" w:rsidRDefault="00EE19AD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622275" w:rsidRPr="00D468EE">
        <w:rPr>
          <w:rFonts w:ascii="Times New Roman" w:hAnsi="Times New Roman"/>
          <w:sz w:val="24"/>
          <w:szCs w:val="24"/>
        </w:rPr>
        <w:t xml:space="preserve">2028. godini u iznosu od 2.071.043,20 </w:t>
      </w:r>
      <w:r w:rsidR="00F43FB3" w:rsidRPr="00D468EE">
        <w:rPr>
          <w:rFonts w:ascii="Times New Roman" w:hAnsi="Times New Roman"/>
          <w:sz w:val="24"/>
          <w:szCs w:val="24"/>
        </w:rPr>
        <w:t>eura</w:t>
      </w:r>
    </w:p>
    <w:p w14:paraId="793CC255" w14:textId="77777777" w:rsidR="00EE19AD" w:rsidRDefault="00EE19AD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622275" w:rsidRPr="00D468EE">
        <w:rPr>
          <w:rFonts w:ascii="Times New Roman" w:hAnsi="Times New Roman"/>
          <w:sz w:val="24"/>
          <w:szCs w:val="24"/>
        </w:rPr>
        <w:t xml:space="preserve">2029. godini u iznosu od 2.031.207,48 </w:t>
      </w:r>
      <w:r w:rsidR="00F43FB3" w:rsidRPr="00D468EE">
        <w:rPr>
          <w:rFonts w:ascii="Times New Roman" w:hAnsi="Times New Roman"/>
          <w:sz w:val="24"/>
          <w:szCs w:val="24"/>
        </w:rPr>
        <w:t>eura</w:t>
      </w:r>
    </w:p>
    <w:p w14:paraId="2AF82C5E" w14:textId="77777777" w:rsidR="00EE19AD" w:rsidRDefault="00EE19AD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622275" w:rsidRPr="00D468EE">
        <w:rPr>
          <w:rFonts w:ascii="Times New Roman" w:hAnsi="Times New Roman"/>
          <w:sz w:val="24"/>
          <w:szCs w:val="24"/>
        </w:rPr>
        <w:t xml:space="preserve">2030. godini u iznosu od 1.991.999,32 </w:t>
      </w:r>
      <w:r w:rsidR="00F43FB3" w:rsidRPr="00D468EE">
        <w:rPr>
          <w:rFonts w:ascii="Times New Roman" w:hAnsi="Times New Roman"/>
          <w:sz w:val="24"/>
          <w:szCs w:val="24"/>
        </w:rPr>
        <w:t>eura</w:t>
      </w:r>
    </w:p>
    <w:p w14:paraId="0DCAE4CC" w14:textId="77777777" w:rsidR="00EE19AD" w:rsidRDefault="00EE19AD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622275" w:rsidRPr="00D468EE">
        <w:rPr>
          <w:rFonts w:ascii="Times New Roman" w:hAnsi="Times New Roman"/>
          <w:sz w:val="24"/>
          <w:szCs w:val="24"/>
        </w:rPr>
        <w:t>2031. g</w:t>
      </w:r>
      <w:r>
        <w:rPr>
          <w:rFonts w:ascii="Times New Roman" w:hAnsi="Times New Roman"/>
          <w:sz w:val="24"/>
          <w:szCs w:val="24"/>
        </w:rPr>
        <w:t xml:space="preserve">odini u iznosu od 1.952.790,77 </w:t>
      </w:r>
      <w:r w:rsidR="00F43FB3" w:rsidRPr="00D468EE">
        <w:rPr>
          <w:rFonts w:ascii="Times New Roman" w:hAnsi="Times New Roman"/>
          <w:sz w:val="24"/>
          <w:szCs w:val="24"/>
        </w:rPr>
        <w:t>eura</w:t>
      </w:r>
    </w:p>
    <w:p w14:paraId="3BB826FF" w14:textId="77777777" w:rsidR="00EE19AD" w:rsidRDefault="00EE19AD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622275" w:rsidRPr="00D468EE">
        <w:rPr>
          <w:rFonts w:ascii="Times New Roman" w:hAnsi="Times New Roman"/>
          <w:sz w:val="24"/>
          <w:szCs w:val="24"/>
        </w:rPr>
        <w:t>2032. g</w:t>
      </w:r>
      <w:r w:rsidR="00F43FB3" w:rsidRPr="00D468EE">
        <w:rPr>
          <w:rFonts w:ascii="Times New Roman" w:hAnsi="Times New Roman"/>
          <w:sz w:val="24"/>
          <w:szCs w:val="24"/>
        </w:rPr>
        <w:t>odini u iznosu od 1.913.917,89</w:t>
      </w:r>
      <w:r w:rsidR="008A3D3A" w:rsidRPr="00D468EE">
        <w:rPr>
          <w:rFonts w:ascii="Times New Roman" w:hAnsi="Times New Roman"/>
          <w:sz w:val="24"/>
          <w:szCs w:val="24"/>
        </w:rPr>
        <w:t xml:space="preserve"> </w:t>
      </w:r>
      <w:r w:rsidR="00F43FB3" w:rsidRPr="00D468EE">
        <w:rPr>
          <w:rFonts w:ascii="Times New Roman" w:hAnsi="Times New Roman"/>
          <w:sz w:val="24"/>
          <w:szCs w:val="24"/>
        </w:rPr>
        <w:t>eura</w:t>
      </w:r>
    </w:p>
    <w:p w14:paraId="22BCEA04" w14:textId="77777777" w:rsidR="00EE19AD" w:rsidRDefault="00EE19AD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622275" w:rsidRPr="00D468EE">
        <w:rPr>
          <w:rFonts w:ascii="Times New Roman" w:hAnsi="Times New Roman"/>
          <w:sz w:val="24"/>
          <w:szCs w:val="24"/>
        </w:rPr>
        <w:t xml:space="preserve">2033. godini u iznosu od 1.874.373,53 </w:t>
      </w:r>
      <w:r w:rsidR="00F43FB3" w:rsidRPr="00D468EE">
        <w:rPr>
          <w:rFonts w:ascii="Times New Roman" w:hAnsi="Times New Roman"/>
          <w:sz w:val="24"/>
          <w:szCs w:val="24"/>
        </w:rPr>
        <w:t>eura</w:t>
      </w:r>
    </w:p>
    <w:p w14:paraId="446A6C13" w14:textId="77777777" w:rsidR="00EE19AD" w:rsidRDefault="00EE19AD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622275" w:rsidRPr="00D468EE">
        <w:rPr>
          <w:rFonts w:ascii="Times New Roman" w:hAnsi="Times New Roman"/>
          <w:sz w:val="24"/>
          <w:szCs w:val="24"/>
        </w:rPr>
        <w:t xml:space="preserve">2034. godini u iznosu od 1.835.165,20 </w:t>
      </w:r>
      <w:r w:rsidR="00F43FB3" w:rsidRPr="00D468EE">
        <w:rPr>
          <w:rFonts w:ascii="Times New Roman" w:hAnsi="Times New Roman"/>
          <w:sz w:val="24"/>
          <w:szCs w:val="24"/>
        </w:rPr>
        <w:t>eura</w:t>
      </w:r>
    </w:p>
    <w:p w14:paraId="41C0FFD3" w14:textId="77777777" w:rsidR="00EE19AD" w:rsidRDefault="00EE19AD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622275" w:rsidRPr="00D468EE">
        <w:rPr>
          <w:rFonts w:ascii="Times New Roman" w:hAnsi="Times New Roman"/>
          <w:sz w:val="24"/>
          <w:szCs w:val="24"/>
        </w:rPr>
        <w:t xml:space="preserve">2035. godini u iznosu od 1.795.956,65 </w:t>
      </w:r>
      <w:r w:rsidR="00F43FB3" w:rsidRPr="00D468EE">
        <w:rPr>
          <w:rFonts w:ascii="Times New Roman" w:hAnsi="Times New Roman"/>
          <w:sz w:val="24"/>
          <w:szCs w:val="24"/>
        </w:rPr>
        <w:t>eura</w:t>
      </w:r>
    </w:p>
    <w:p w14:paraId="24232336" w14:textId="77777777" w:rsidR="00205BA4" w:rsidRPr="00D468EE" w:rsidRDefault="00EE19AD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622275" w:rsidRPr="00D468EE">
        <w:rPr>
          <w:rFonts w:ascii="Times New Roman" w:hAnsi="Times New Roman"/>
          <w:sz w:val="24"/>
          <w:szCs w:val="24"/>
        </w:rPr>
        <w:t xml:space="preserve">2036. godini u iznosu od 1.163.025,25 </w:t>
      </w:r>
      <w:r w:rsidR="00F43FB3" w:rsidRPr="00D468EE">
        <w:rPr>
          <w:rFonts w:ascii="Times New Roman" w:hAnsi="Times New Roman"/>
          <w:sz w:val="24"/>
          <w:szCs w:val="24"/>
        </w:rPr>
        <w:t>eura.</w:t>
      </w:r>
    </w:p>
    <w:p w14:paraId="730A951F" w14:textId="77777777" w:rsidR="00205BA4" w:rsidRPr="00D468EE" w:rsidRDefault="00205BA4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807C38A" w14:textId="77777777" w:rsidR="00622275" w:rsidRPr="0012157D" w:rsidRDefault="00205BA4" w:rsidP="00D468EE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2157D">
        <w:rPr>
          <w:rFonts w:ascii="Times New Roman" w:hAnsi="Times New Roman"/>
          <w:spacing w:val="-2"/>
          <w:sz w:val="24"/>
          <w:szCs w:val="24"/>
        </w:rPr>
        <w:t xml:space="preserve">Nadalje, </w:t>
      </w:r>
      <w:r w:rsidR="00622275" w:rsidRPr="0012157D">
        <w:rPr>
          <w:rFonts w:ascii="Times New Roman" w:hAnsi="Times New Roman"/>
          <w:spacing w:val="-2"/>
          <w:sz w:val="24"/>
          <w:szCs w:val="24"/>
        </w:rPr>
        <w:t xml:space="preserve">novoizgrađena zgrada </w:t>
      </w:r>
      <w:r w:rsidRPr="0012157D">
        <w:rPr>
          <w:rFonts w:ascii="Times New Roman" w:hAnsi="Times New Roman"/>
          <w:spacing w:val="-2"/>
          <w:sz w:val="24"/>
          <w:szCs w:val="24"/>
        </w:rPr>
        <w:t xml:space="preserve">Opće bolnice </w:t>
      </w:r>
      <w:r w:rsidR="00EE19AD" w:rsidRPr="0012157D">
        <w:rPr>
          <w:rFonts w:ascii="Times New Roman" w:hAnsi="Times New Roman"/>
          <w:spacing w:val="-2"/>
          <w:sz w:val="24"/>
          <w:szCs w:val="24"/>
        </w:rPr>
        <w:t>„</w:t>
      </w:r>
      <w:r w:rsidRPr="0012157D">
        <w:rPr>
          <w:rFonts w:ascii="Times New Roman" w:hAnsi="Times New Roman"/>
          <w:spacing w:val="-2"/>
          <w:sz w:val="24"/>
          <w:szCs w:val="24"/>
        </w:rPr>
        <w:t>Dr. Anđelko Višić</w:t>
      </w:r>
      <w:r w:rsidR="00EE19AD" w:rsidRPr="0012157D">
        <w:rPr>
          <w:rFonts w:ascii="Times New Roman" w:hAnsi="Times New Roman"/>
          <w:spacing w:val="-2"/>
          <w:sz w:val="24"/>
          <w:szCs w:val="24"/>
        </w:rPr>
        <w:t>“</w:t>
      </w:r>
      <w:r w:rsidRPr="0012157D">
        <w:rPr>
          <w:rFonts w:ascii="Times New Roman" w:hAnsi="Times New Roman"/>
          <w:spacing w:val="-2"/>
          <w:sz w:val="24"/>
          <w:szCs w:val="24"/>
        </w:rPr>
        <w:t xml:space="preserve"> Bjelovar je </w:t>
      </w:r>
      <w:r w:rsidR="00622275" w:rsidRPr="0012157D">
        <w:rPr>
          <w:rFonts w:ascii="Times New Roman" w:hAnsi="Times New Roman"/>
          <w:spacing w:val="-2"/>
          <w:sz w:val="24"/>
          <w:szCs w:val="24"/>
        </w:rPr>
        <w:t xml:space="preserve">djelomično </w:t>
      </w:r>
      <w:r w:rsidRPr="0012157D">
        <w:rPr>
          <w:rFonts w:ascii="Times New Roman" w:hAnsi="Times New Roman"/>
          <w:spacing w:val="-2"/>
          <w:sz w:val="24"/>
          <w:szCs w:val="24"/>
        </w:rPr>
        <w:t xml:space="preserve">opremljena i </w:t>
      </w:r>
      <w:r w:rsidR="00622275" w:rsidRPr="0012157D">
        <w:rPr>
          <w:rFonts w:ascii="Times New Roman" w:hAnsi="Times New Roman"/>
          <w:spacing w:val="-2"/>
          <w:sz w:val="24"/>
          <w:szCs w:val="24"/>
        </w:rPr>
        <w:t xml:space="preserve">potrebno </w:t>
      </w:r>
      <w:r w:rsidRPr="0012157D">
        <w:rPr>
          <w:rFonts w:ascii="Times New Roman" w:hAnsi="Times New Roman"/>
          <w:spacing w:val="-2"/>
          <w:sz w:val="24"/>
          <w:szCs w:val="24"/>
        </w:rPr>
        <w:t xml:space="preserve">je </w:t>
      </w:r>
      <w:r w:rsidR="00622275" w:rsidRPr="0012157D">
        <w:rPr>
          <w:rFonts w:ascii="Times New Roman" w:hAnsi="Times New Roman"/>
          <w:spacing w:val="-2"/>
          <w:sz w:val="24"/>
          <w:szCs w:val="24"/>
        </w:rPr>
        <w:t xml:space="preserve">9.290.596,59 </w:t>
      </w:r>
      <w:r w:rsidR="00F43FB3" w:rsidRPr="0012157D">
        <w:rPr>
          <w:rFonts w:ascii="Times New Roman" w:hAnsi="Times New Roman"/>
          <w:spacing w:val="-2"/>
          <w:sz w:val="24"/>
          <w:szCs w:val="24"/>
        </w:rPr>
        <w:t>eura</w:t>
      </w:r>
      <w:r w:rsidR="00622275" w:rsidRPr="0012157D">
        <w:rPr>
          <w:rFonts w:ascii="Times New Roman" w:hAnsi="Times New Roman"/>
          <w:spacing w:val="-2"/>
          <w:sz w:val="24"/>
          <w:szCs w:val="24"/>
        </w:rPr>
        <w:t xml:space="preserve"> za dovršetak opremanja nove zgrade </w:t>
      </w:r>
      <w:r w:rsidR="00964364" w:rsidRPr="0012157D">
        <w:rPr>
          <w:rFonts w:ascii="Times New Roman" w:hAnsi="Times New Roman"/>
          <w:spacing w:val="-2"/>
          <w:sz w:val="24"/>
          <w:szCs w:val="24"/>
        </w:rPr>
        <w:t>bolnice</w:t>
      </w:r>
      <w:r w:rsidR="003C4F18" w:rsidRPr="0012157D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9D506C" w:rsidRPr="0012157D">
        <w:rPr>
          <w:rFonts w:ascii="Times New Roman" w:hAnsi="Times New Roman"/>
          <w:spacing w:val="-2"/>
          <w:sz w:val="24"/>
          <w:szCs w:val="24"/>
        </w:rPr>
        <w:t xml:space="preserve">a u 2023. godini osigurana su sredstva za navedenu namjenu u iznosu od 6.636.140,42 eura. </w:t>
      </w:r>
      <w:r w:rsidR="00916083" w:rsidRPr="0012157D">
        <w:rPr>
          <w:rFonts w:ascii="Times New Roman" w:hAnsi="Times New Roman"/>
          <w:spacing w:val="-2"/>
          <w:sz w:val="24"/>
          <w:szCs w:val="24"/>
        </w:rPr>
        <w:t xml:space="preserve">Sredstva za </w:t>
      </w:r>
      <w:r w:rsidR="009D506C" w:rsidRPr="0012157D">
        <w:rPr>
          <w:rFonts w:ascii="Times New Roman" w:hAnsi="Times New Roman"/>
          <w:spacing w:val="-2"/>
          <w:sz w:val="24"/>
          <w:szCs w:val="24"/>
        </w:rPr>
        <w:t xml:space="preserve">provedbu </w:t>
      </w:r>
      <w:r w:rsidR="00EE19AD" w:rsidRPr="0012157D">
        <w:rPr>
          <w:rFonts w:ascii="Times New Roman" w:hAnsi="Times New Roman"/>
          <w:spacing w:val="-2"/>
          <w:sz w:val="24"/>
          <w:szCs w:val="24"/>
        </w:rPr>
        <w:t>o</w:t>
      </w:r>
      <w:r w:rsidR="009D506C" w:rsidRPr="0012157D">
        <w:rPr>
          <w:rFonts w:ascii="Times New Roman" w:hAnsi="Times New Roman"/>
          <w:spacing w:val="-2"/>
          <w:sz w:val="24"/>
          <w:szCs w:val="24"/>
        </w:rPr>
        <w:t xml:space="preserve">dluke vezano za </w:t>
      </w:r>
      <w:r w:rsidR="00916083" w:rsidRPr="0012157D">
        <w:rPr>
          <w:rFonts w:ascii="Times New Roman" w:hAnsi="Times New Roman"/>
          <w:spacing w:val="-2"/>
          <w:sz w:val="24"/>
          <w:szCs w:val="24"/>
        </w:rPr>
        <w:t xml:space="preserve">opremanje bolnice </w:t>
      </w:r>
      <w:r w:rsidR="00622275" w:rsidRPr="0012157D">
        <w:rPr>
          <w:rFonts w:ascii="Times New Roman" w:hAnsi="Times New Roman"/>
          <w:spacing w:val="-2"/>
          <w:sz w:val="24"/>
          <w:szCs w:val="24"/>
        </w:rPr>
        <w:t xml:space="preserve">osigurana </w:t>
      </w:r>
      <w:r w:rsidR="009D506C" w:rsidRPr="0012157D">
        <w:rPr>
          <w:rFonts w:ascii="Times New Roman" w:hAnsi="Times New Roman"/>
          <w:spacing w:val="-2"/>
          <w:sz w:val="24"/>
          <w:szCs w:val="24"/>
        </w:rPr>
        <w:t xml:space="preserve">su </w:t>
      </w:r>
      <w:r w:rsidR="00622275" w:rsidRPr="0012157D">
        <w:rPr>
          <w:rFonts w:ascii="Times New Roman" w:hAnsi="Times New Roman"/>
          <w:spacing w:val="-2"/>
          <w:sz w:val="24"/>
          <w:szCs w:val="24"/>
        </w:rPr>
        <w:t xml:space="preserve">u Državnom proračunu na razdjelu 096 </w:t>
      </w:r>
      <w:r w:rsidR="00EE19AD" w:rsidRPr="0012157D">
        <w:rPr>
          <w:rFonts w:ascii="Times New Roman" w:hAnsi="Times New Roman"/>
          <w:spacing w:val="-2"/>
          <w:sz w:val="24"/>
          <w:szCs w:val="24"/>
        </w:rPr>
        <w:t>-</w:t>
      </w:r>
      <w:r w:rsidR="00622275" w:rsidRPr="0012157D">
        <w:rPr>
          <w:rFonts w:ascii="Times New Roman" w:hAnsi="Times New Roman"/>
          <w:spacing w:val="-2"/>
          <w:sz w:val="24"/>
          <w:szCs w:val="24"/>
        </w:rPr>
        <w:t xml:space="preserve"> Ministarstvo zdravstva, kapitalni projekt K794010 </w:t>
      </w:r>
      <w:r w:rsidR="00EE19AD" w:rsidRPr="0012157D">
        <w:rPr>
          <w:rFonts w:ascii="Times New Roman" w:hAnsi="Times New Roman"/>
          <w:spacing w:val="-2"/>
          <w:sz w:val="24"/>
          <w:szCs w:val="24"/>
        </w:rPr>
        <w:t>-</w:t>
      </w:r>
      <w:r w:rsidR="00622275" w:rsidRPr="0012157D">
        <w:rPr>
          <w:rFonts w:ascii="Times New Roman" w:hAnsi="Times New Roman"/>
          <w:spacing w:val="-2"/>
          <w:sz w:val="24"/>
          <w:szCs w:val="24"/>
        </w:rPr>
        <w:t xml:space="preserve"> OB Bjelovar, skupina računa 36 </w:t>
      </w:r>
      <w:r w:rsidR="00EE19AD" w:rsidRPr="0012157D">
        <w:rPr>
          <w:rFonts w:ascii="Times New Roman" w:hAnsi="Times New Roman"/>
          <w:spacing w:val="-2"/>
          <w:sz w:val="24"/>
          <w:szCs w:val="24"/>
        </w:rPr>
        <w:t>-</w:t>
      </w:r>
      <w:r w:rsidR="00622275" w:rsidRPr="0012157D">
        <w:rPr>
          <w:rFonts w:ascii="Times New Roman" w:hAnsi="Times New Roman"/>
          <w:spacing w:val="-2"/>
          <w:sz w:val="24"/>
          <w:szCs w:val="24"/>
        </w:rPr>
        <w:t xml:space="preserve"> Pomoći dane u inozemstvo i unutar općeg proračuna, izvor financiranja 11 </w:t>
      </w:r>
      <w:r w:rsidR="00EE19AD" w:rsidRPr="0012157D">
        <w:rPr>
          <w:rFonts w:ascii="Times New Roman" w:hAnsi="Times New Roman"/>
          <w:spacing w:val="-2"/>
          <w:sz w:val="24"/>
          <w:szCs w:val="24"/>
        </w:rPr>
        <w:t>-</w:t>
      </w:r>
      <w:r w:rsidR="00622275" w:rsidRPr="0012157D">
        <w:rPr>
          <w:rFonts w:ascii="Times New Roman" w:hAnsi="Times New Roman"/>
          <w:spacing w:val="-2"/>
          <w:sz w:val="24"/>
          <w:szCs w:val="24"/>
        </w:rPr>
        <w:t xml:space="preserve"> opći prihodi i primici u 2024. godini</w:t>
      </w:r>
      <w:r w:rsidR="00A0611E" w:rsidRPr="0012157D">
        <w:rPr>
          <w:rFonts w:ascii="Times New Roman" w:hAnsi="Times New Roman"/>
          <w:spacing w:val="-2"/>
          <w:sz w:val="24"/>
          <w:szCs w:val="24"/>
        </w:rPr>
        <w:t xml:space="preserve"> u iznosu od </w:t>
      </w:r>
      <w:r w:rsidR="00622275" w:rsidRPr="0012157D">
        <w:rPr>
          <w:rFonts w:ascii="Times New Roman" w:hAnsi="Times New Roman"/>
          <w:spacing w:val="-2"/>
          <w:sz w:val="24"/>
          <w:szCs w:val="24"/>
        </w:rPr>
        <w:t xml:space="preserve">2.654.456,17 </w:t>
      </w:r>
      <w:r w:rsidR="009240E3" w:rsidRPr="0012157D">
        <w:rPr>
          <w:rFonts w:ascii="Times New Roman" w:hAnsi="Times New Roman"/>
          <w:spacing w:val="-2"/>
          <w:sz w:val="24"/>
          <w:szCs w:val="24"/>
        </w:rPr>
        <w:t xml:space="preserve">eura </w:t>
      </w:r>
      <w:r w:rsidR="00622275" w:rsidRPr="0012157D">
        <w:rPr>
          <w:rFonts w:ascii="Times New Roman" w:hAnsi="Times New Roman"/>
          <w:spacing w:val="-2"/>
          <w:sz w:val="24"/>
          <w:szCs w:val="24"/>
        </w:rPr>
        <w:t>za opremanje: medicinsko-biokemijskog laboratorija, patologije, citološkog laboratorija, transfuzije, kuhinje, bolničke ljekarne, zajedničke garderobe, tehničke službe s gospodarskim pro</w:t>
      </w:r>
      <w:r w:rsidR="009240E3" w:rsidRPr="0012157D">
        <w:rPr>
          <w:rFonts w:ascii="Times New Roman" w:hAnsi="Times New Roman"/>
          <w:spacing w:val="-2"/>
          <w:sz w:val="24"/>
          <w:szCs w:val="24"/>
        </w:rPr>
        <w:t>storom, gastroenterološke sale.</w:t>
      </w:r>
    </w:p>
    <w:p w14:paraId="5CE579F2" w14:textId="77777777" w:rsidR="00622275" w:rsidRPr="00D468EE" w:rsidRDefault="00622275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8419A5" w14:textId="77777777" w:rsidR="002C45AD" w:rsidRPr="00D468EE" w:rsidRDefault="002C45AD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8EE">
        <w:rPr>
          <w:rFonts w:ascii="Times New Roman" w:hAnsi="Times New Roman"/>
          <w:sz w:val="24"/>
          <w:szCs w:val="24"/>
        </w:rPr>
        <w:t xml:space="preserve">Dakle, </w:t>
      </w:r>
      <w:r w:rsidR="00A0611E" w:rsidRPr="00D468EE">
        <w:rPr>
          <w:rFonts w:ascii="Times New Roman" w:hAnsi="Times New Roman"/>
          <w:sz w:val="24"/>
          <w:szCs w:val="24"/>
        </w:rPr>
        <w:t xml:space="preserve">za </w:t>
      </w:r>
      <w:r w:rsidRPr="00D468EE">
        <w:rPr>
          <w:rFonts w:ascii="Times New Roman" w:hAnsi="Times New Roman"/>
          <w:sz w:val="24"/>
          <w:szCs w:val="24"/>
        </w:rPr>
        <w:t xml:space="preserve">sredstava u </w:t>
      </w:r>
      <w:r w:rsidR="009D506C" w:rsidRPr="00D468EE">
        <w:rPr>
          <w:rFonts w:ascii="Times New Roman" w:hAnsi="Times New Roman"/>
          <w:sz w:val="24"/>
          <w:szCs w:val="24"/>
        </w:rPr>
        <w:t xml:space="preserve">ukupnom </w:t>
      </w:r>
      <w:r w:rsidR="00A0611E" w:rsidRPr="00D468EE">
        <w:rPr>
          <w:rFonts w:ascii="Times New Roman" w:hAnsi="Times New Roman"/>
          <w:sz w:val="24"/>
          <w:szCs w:val="24"/>
        </w:rPr>
        <w:t xml:space="preserve">iznosu od </w:t>
      </w:r>
      <w:r w:rsidR="00A0611E" w:rsidRPr="00EE19AD">
        <w:rPr>
          <w:rFonts w:ascii="Times New Roman" w:hAnsi="Times New Roman"/>
          <w:sz w:val="24"/>
          <w:szCs w:val="24"/>
          <w:u w:val="single"/>
        </w:rPr>
        <w:t xml:space="preserve">27.958.603,70 eura </w:t>
      </w:r>
      <w:r w:rsidR="009D506C" w:rsidRPr="00EE19AD">
        <w:rPr>
          <w:rFonts w:ascii="Times New Roman" w:hAnsi="Times New Roman"/>
          <w:sz w:val="24"/>
          <w:szCs w:val="24"/>
          <w:u w:val="single"/>
        </w:rPr>
        <w:t xml:space="preserve">za otplatu kredita i </w:t>
      </w:r>
      <w:r w:rsidR="00A0611E" w:rsidRPr="00EE19AD">
        <w:rPr>
          <w:rFonts w:ascii="Times New Roman" w:hAnsi="Times New Roman"/>
          <w:sz w:val="24"/>
          <w:szCs w:val="24"/>
          <w:u w:val="single"/>
        </w:rPr>
        <w:t>opremanja nove zgrade bolnice</w:t>
      </w:r>
      <w:r w:rsidR="009240E3" w:rsidRPr="00EE19AD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EE19AD">
        <w:rPr>
          <w:rFonts w:ascii="Times New Roman" w:hAnsi="Times New Roman"/>
          <w:sz w:val="24"/>
          <w:szCs w:val="24"/>
          <w:u w:val="single"/>
        </w:rPr>
        <w:t>Ministarstvo zdravstva traži suglasnost</w:t>
      </w:r>
      <w:r w:rsidRPr="00D468EE">
        <w:rPr>
          <w:rFonts w:ascii="Times New Roman" w:hAnsi="Times New Roman"/>
          <w:sz w:val="24"/>
          <w:szCs w:val="24"/>
        </w:rPr>
        <w:t xml:space="preserve"> Vlade Republike Hrvatske za preuzimanje obveza na teret sredstava državnog proračuna za razdoblje od 202</w:t>
      </w:r>
      <w:r w:rsidR="009240E3" w:rsidRPr="00D468EE">
        <w:rPr>
          <w:rFonts w:ascii="Times New Roman" w:hAnsi="Times New Roman"/>
          <w:sz w:val="24"/>
          <w:szCs w:val="24"/>
        </w:rPr>
        <w:t>4</w:t>
      </w:r>
      <w:r w:rsidRPr="00D468EE">
        <w:rPr>
          <w:rFonts w:ascii="Times New Roman" w:hAnsi="Times New Roman"/>
          <w:sz w:val="24"/>
          <w:szCs w:val="24"/>
        </w:rPr>
        <w:t>. do 203</w:t>
      </w:r>
      <w:r w:rsidR="009240E3" w:rsidRPr="00D468EE">
        <w:rPr>
          <w:rFonts w:ascii="Times New Roman" w:hAnsi="Times New Roman"/>
          <w:sz w:val="24"/>
          <w:szCs w:val="24"/>
        </w:rPr>
        <w:t>6</w:t>
      </w:r>
      <w:r w:rsidRPr="00D468EE">
        <w:rPr>
          <w:rFonts w:ascii="Times New Roman" w:hAnsi="Times New Roman"/>
          <w:sz w:val="24"/>
          <w:szCs w:val="24"/>
        </w:rPr>
        <w:t xml:space="preserve">. </w:t>
      </w:r>
      <w:r w:rsidR="00916083" w:rsidRPr="00D468EE">
        <w:rPr>
          <w:rFonts w:ascii="Times New Roman" w:hAnsi="Times New Roman"/>
          <w:sz w:val="24"/>
          <w:szCs w:val="24"/>
        </w:rPr>
        <w:t>po godinama i iznosima</w:t>
      </w:r>
      <w:r w:rsidRPr="00D468EE">
        <w:rPr>
          <w:rFonts w:ascii="Times New Roman" w:hAnsi="Times New Roman"/>
          <w:sz w:val="24"/>
          <w:szCs w:val="24"/>
        </w:rPr>
        <w:t xml:space="preserve">, </w:t>
      </w:r>
      <w:r w:rsidR="009240E3" w:rsidRPr="00D468EE">
        <w:rPr>
          <w:rFonts w:ascii="Times New Roman" w:hAnsi="Times New Roman"/>
          <w:sz w:val="24"/>
          <w:szCs w:val="24"/>
        </w:rPr>
        <w:t xml:space="preserve">kako je gore navedeno </w:t>
      </w:r>
      <w:r w:rsidR="00205BA4" w:rsidRPr="00D468EE">
        <w:rPr>
          <w:rFonts w:ascii="Times New Roman" w:hAnsi="Times New Roman"/>
          <w:sz w:val="24"/>
          <w:szCs w:val="24"/>
        </w:rPr>
        <w:t>a sukladno planu otplate</w:t>
      </w:r>
      <w:r w:rsidR="00916083" w:rsidRPr="00D468EE">
        <w:rPr>
          <w:rFonts w:ascii="Times New Roman" w:hAnsi="Times New Roman"/>
          <w:sz w:val="24"/>
          <w:szCs w:val="24"/>
        </w:rPr>
        <w:t>.</w:t>
      </w:r>
    </w:p>
    <w:p w14:paraId="68D8BBE3" w14:textId="77777777" w:rsidR="002C45AD" w:rsidRPr="00D468EE" w:rsidRDefault="002C45AD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CD159" w14:textId="77777777" w:rsidR="002C45AD" w:rsidRPr="00D468EE" w:rsidRDefault="00467B95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8EE">
        <w:rPr>
          <w:rFonts w:ascii="Times New Roman" w:hAnsi="Times New Roman"/>
          <w:sz w:val="24"/>
          <w:szCs w:val="24"/>
        </w:rPr>
        <w:t>Člankom 48. stavkom 2. Zakona o proračunu, propisano je da proračunski korisnik državnog proračuna može preuzeti obveze iz ugovora koji zahtijeva plaćanje u sljedećim godinama, neovisno o izvoru financiranja, isključivo na temelju odluke Vlade koju predlaže nadležni ministar, a na koju je prethodnu suglasnost dalo Ministarstvo financija.</w:t>
      </w:r>
    </w:p>
    <w:p w14:paraId="49E83406" w14:textId="77777777" w:rsidR="00AB380F" w:rsidRPr="00D468EE" w:rsidRDefault="00AB380F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20AB36" w14:textId="77777777" w:rsidR="003E46EC" w:rsidRPr="0012157D" w:rsidRDefault="001F46D4" w:rsidP="00D468EE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4"/>
          <w:szCs w:val="24"/>
        </w:rPr>
      </w:pPr>
      <w:r w:rsidRPr="0012157D">
        <w:rPr>
          <w:rFonts w:ascii="Times New Roman" w:eastAsia="Times New Roman" w:hAnsi="Times New Roman"/>
          <w:spacing w:val="-2"/>
          <w:sz w:val="24"/>
          <w:szCs w:val="24"/>
        </w:rPr>
        <w:t xml:space="preserve">Ministarstvo zdravstva, Bjelovarsko-bilogorska županija i Opća bolnica „Dr. Anđelko Višić“ Bjelovar sklopit će sporazum o financiranju nastavka realizacije projekta izgradnje i opremanja nove zgrade Opće bolnice </w:t>
      </w:r>
      <w:r w:rsidR="0012157D">
        <w:rPr>
          <w:rFonts w:ascii="Times New Roman" w:eastAsia="Times New Roman" w:hAnsi="Times New Roman"/>
          <w:spacing w:val="-2"/>
          <w:sz w:val="24"/>
          <w:szCs w:val="24"/>
        </w:rPr>
        <w:t>„</w:t>
      </w:r>
      <w:r w:rsidRPr="0012157D">
        <w:rPr>
          <w:rFonts w:ascii="Times New Roman" w:eastAsia="Times New Roman" w:hAnsi="Times New Roman"/>
          <w:spacing w:val="-2"/>
          <w:sz w:val="24"/>
          <w:szCs w:val="24"/>
        </w:rPr>
        <w:t>Dr. Anđelko Višić</w:t>
      </w:r>
      <w:r w:rsidR="0012157D">
        <w:rPr>
          <w:rFonts w:ascii="Times New Roman" w:eastAsia="Times New Roman" w:hAnsi="Times New Roman"/>
          <w:spacing w:val="-2"/>
          <w:sz w:val="24"/>
          <w:szCs w:val="24"/>
        </w:rPr>
        <w:t>“</w:t>
      </w:r>
      <w:r w:rsidRPr="0012157D">
        <w:rPr>
          <w:rFonts w:ascii="Times New Roman" w:eastAsia="Times New Roman" w:hAnsi="Times New Roman"/>
          <w:spacing w:val="-2"/>
          <w:sz w:val="24"/>
          <w:szCs w:val="24"/>
        </w:rPr>
        <w:t xml:space="preserve"> Bjelovar</w:t>
      </w:r>
      <w:r w:rsidR="0012157D">
        <w:rPr>
          <w:rFonts w:ascii="Times New Roman" w:eastAsia="Times New Roman" w:hAnsi="Times New Roman"/>
          <w:spacing w:val="-2"/>
          <w:sz w:val="24"/>
          <w:szCs w:val="24"/>
        </w:rPr>
        <w:t>,</w:t>
      </w:r>
      <w:r w:rsidR="006C2E91" w:rsidRPr="0012157D">
        <w:rPr>
          <w:rFonts w:ascii="Times New Roman" w:eastAsia="Times New Roman" w:hAnsi="Times New Roman"/>
          <w:spacing w:val="-2"/>
          <w:sz w:val="24"/>
          <w:szCs w:val="24"/>
        </w:rPr>
        <w:t xml:space="preserve"> kojim će se urediti </w:t>
      </w:r>
      <w:r w:rsidR="003E46EC" w:rsidRPr="0012157D">
        <w:rPr>
          <w:rFonts w:ascii="Times New Roman" w:eastAsia="Times New Roman" w:hAnsi="Times New Roman"/>
          <w:spacing w:val="-2"/>
          <w:sz w:val="24"/>
          <w:szCs w:val="24"/>
        </w:rPr>
        <w:t>davanje pomoći Ministarstva zdravstva Općoj bolnici „Dr. Anđelko Višić“ Bjelovar</w:t>
      </w:r>
      <w:r w:rsidR="00B279A7" w:rsidRPr="0012157D">
        <w:rPr>
          <w:rFonts w:ascii="Times New Roman" w:eastAsia="Times New Roman" w:hAnsi="Times New Roman"/>
          <w:spacing w:val="-2"/>
          <w:sz w:val="24"/>
          <w:szCs w:val="24"/>
        </w:rPr>
        <w:t xml:space="preserve"> na način da će Ministarstvo zdravstva sredstva pomoći potrebna za pokriće obveza </w:t>
      </w:r>
      <w:r w:rsidR="00CC7249" w:rsidRPr="0012157D">
        <w:rPr>
          <w:rFonts w:ascii="Times New Roman" w:eastAsia="Times New Roman" w:hAnsi="Times New Roman"/>
          <w:spacing w:val="-2"/>
          <w:sz w:val="24"/>
          <w:szCs w:val="24"/>
        </w:rPr>
        <w:t xml:space="preserve">koje proizlaze iz dva ugovora o dugoročnom zaduživanju doznačavati Općoj bolnici </w:t>
      </w:r>
      <w:r w:rsidR="0012157D">
        <w:rPr>
          <w:rFonts w:ascii="Times New Roman" w:eastAsia="Times New Roman" w:hAnsi="Times New Roman"/>
          <w:spacing w:val="-2"/>
          <w:sz w:val="24"/>
          <w:szCs w:val="24"/>
        </w:rPr>
        <w:t>„</w:t>
      </w:r>
      <w:r w:rsidR="00CC7249" w:rsidRPr="0012157D">
        <w:rPr>
          <w:rFonts w:ascii="Times New Roman" w:eastAsia="Times New Roman" w:hAnsi="Times New Roman"/>
          <w:spacing w:val="-2"/>
          <w:sz w:val="24"/>
          <w:szCs w:val="24"/>
        </w:rPr>
        <w:t>Dr. Anđelko Višić</w:t>
      </w:r>
      <w:r w:rsidR="0012157D">
        <w:rPr>
          <w:rFonts w:ascii="Times New Roman" w:eastAsia="Times New Roman" w:hAnsi="Times New Roman"/>
          <w:spacing w:val="-2"/>
          <w:sz w:val="24"/>
          <w:szCs w:val="24"/>
        </w:rPr>
        <w:t>“</w:t>
      </w:r>
      <w:r w:rsidR="00CC7249" w:rsidRPr="0012157D">
        <w:rPr>
          <w:rFonts w:ascii="Times New Roman" w:eastAsia="Times New Roman" w:hAnsi="Times New Roman"/>
          <w:spacing w:val="-2"/>
          <w:sz w:val="24"/>
          <w:szCs w:val="24"/>
        </w:rPr>
        <w:t xml:space="preserve"> Bjelovar </w:t>
      </w:r>
      <w:r w:rsidR="00B279A7" w:rsidRPr="0012157D">
        <w:rPr>
          <w:rFonts w:ascii="Times New Roman" w:eastAsia="Times New Roman" w:hAnsi="Times New Roman"/>
          <w:spacing w:val="-2"/>
          <w:sz w:val="24"/>
          <w:szCs w:val="24"/>
        </w:rPr>
        <w:t xml:space="preserve">po zaprimanju zahtjeva </w:t>
      </w:r>
      <w:r w:rsidR="00CC7249" w:rsidRPr="0012157D">
        <w:rPr>
          <w:rFonts w:ascii="Times New Roman" w:eastAsia="Times New Roman" w:hAnsi="Times New Roman"/>
          <w:spacing w:val="-2"/>
          <w:sz w:val="24"/>
          <w:szCs w:val="24"/>
        </w:rPr>
        <w:t xml:space="preserve">bolnice </w:t>
      </w:r>
      <w:r w:rsidR="00B279A7" w:rsidRPr="0012157D">
        <w:rPr>
          <w:rFonts w:ascii="Times New Roman" w:eastAsia="Times New Roman" w:hAnsi="Times New Roman"/>
          <w:spacing w:val="-2"/>
          <w:sz w:val="24"/>
          <w:szCs w:val="24"/>
        </w:rPr>
        <w:t>uz koje su prilože</w:t>
      </w:r>
      <w:r w:rsidR="00CC7249" w:rsidRPr="0012157D">
        <w:rPr>
          <w:rFonts w:ascii="Times New Roman" w:eastAsia="Times New Roman" w:hAnsi="Times New Roman"/>
          <w:spacing w:val="-2"/>
          <w:sz w:val="24"/>
          <w:szCs w:val="24"/>
        </w:rPr>
        <w:t xml:space="preserve">ne mjesečne obveze po kreditima te da će </w:t>
      </w:r>
      <w:r w:rsidR="003E46EC" w:rsidRPr="0012157D">
        <w:rPr>
          <w:rFonts w:ascii="Times New Roman" w:hAnsi="Times New Roman"/>
          <w:spacing w:val="-2"/>
          <w:sz w:val="24"/>
          <w:szCs w:val="24"/>
        </w:rPr>
        <w:t xml:space="preserve">Ministarstvo zdravstva sredstva pomoći potrebna za pokriće obveza </w:t>
      </w:r>
      <w:r w:rsidR="00CC7249" w:rsidRPr="0012157D">
        <w:rPr>
          <w:rFonts w:ascii="Times New Roman" w:hAnsi="Times New Roman"/>
          <w:spacing w:val="-2"/>
          <w:sz w:val="24"/>
          <w:szCs w:val="24"/>
        </w:rPr>
        <w:t xml:space="preserve">za nabavu opreme </w:t>
      </w:r>
      <w:r w:rsidR="003E46EC" w:rsidRPr="0012157D">
        <w:rPr>
          <w:rFonts w:ascii="Times New Roman" w:hAnsi="Times New Roman"/>
          <w:spacing w:val="-2"/>
          <w:sz w:val="24"/>
          <w:szCs w:val="24"/>
        </w:rPr>
        <w:t xml:space="preserve">Opće bolnice </w:t>
      </w:r>
      <w:r w:rsidR="0012157D">
        <w:rPr>
          <w:rFonts w:ascii="Times New Roman" w:hAnsi="Times New Roman"/>
          <w:spacing w:val="-2"/>
          <w:sz w:val="24"/>
          <w:szCs w:val="24"/>
        </w:rPr>
        <w:t>„</w:t>
      </w:r>
      <w:r w:rsidR="00CC7249" w:rsidRPr="0012157D">
        <w:rPr>
          <w:rFonts w:ascii="Times New Roman" w:hAnsi="Times New Roman"/>
          <w:spacing w:val="-2"/>
          <w:sz w:val="24"/>
          <w:szCs w:val="24"/>
        </w:rPr>
        <w:t>Dr. Anđelko Višić</w:t>
      </w:r>
      <w:r w:rsidR="0012157D">
        <w:rPr>
          <w:rFonts w:ascii="Times New Roman" w:hAnsi="Times New Roman"/>
          <w:spacing w:val="-2"/>
          <w:sz w:val="24"/>
          <w:szCs w:val="24"/>
        </w:rPr>
        <w:t>“</w:t>
      </w:r>
      <w:r w:rsidR="00CC7249" w:rsidRPr="0012157D">
        <w:rPr>
          <w:rFonts w:ascii="Times New Roman" w:hAnsi="Times New Roman"/>
          <w:spacing w:val="-2"/>
          <w:sz w:val="24"/>
          <w:szCs w:val="24"/>
        </w:rPr>
        <w:t xml:space="preserve"> Bjelovar </w:t>
      </w:r>
      <w:r w:rsidR="003E46EC" w:rsidRPr="0012157D">
        <w:rPr>
          <w:rFonts w:ascii="Times New Roman" w:hAnsi="Times New Roman"/>
          <w:spacing w:val="-2"/>
          <w:sz w:val="24"/>
          <w:szCs w:val="24"/>
        </w:rPr>
        <w:t xml:space="preserve">doznačiti </w:t>
      </w:r>
      <w:r w:rsidR="00CC7249" w:rsidRPr="0012157D">
        <w:rPr>
          <w:rFonts w:ascii="Times New Roman" w:hAnsi="Times New Roman"/>
          <w:spacing w:val="-2"/>
          <w:sz w:val="24"/>
          <w:szCs w:val="24"/>
        </w:rPr>
        <w:t xml:space="preserve">bolnici </w:t>
      </w:r>
      <w:r w:rsidR="003E46EC" w:rsidRPr="0012157D">
        <w:rPr>
          <w:rFonts w:ascii="Times New Roman" w:hAnsi="Times New Roman"/>
          <w:spacing w:val="-2"/>
          <w:sz w:val="24"/>
          <w:szCs w:val="24"/>
        </w:rPr>
        <w:t xml:space="preserve">po provedbi postupaka javne nabave i dostavi zahtjeva </w:t>
      </w:r>
      <w:r w:rsidR="00CC7249" w:rsidRPr="0012157D">
        <w:rPr>
          <w:rFonts w:ascii="Times New Roman" w:hAnsi="Times New Roman"/>
          <w:spacing w:val="-2"/>
          <w:sz w:val="24"/>
          <w:szCs w:val="24"/>
        </w:rPr>
        <w:t xml:space="preserve">Opće bolnice </w:t>
      </w:r>
      <w:r w:rsidR="0012157D">
        <w:rPr>
          <w:rFonts w:ascii="Times New Roman" w:hAnsi="Times New Roman"/>
          <w:spacing w:val="-2"/>
          <w:sz w:val="24"/>
          <w:szCs w:val="24"/>
        </w:rPr>
        <w:t>„</w:t>
      </w:r>
      <w:r w:rsidR="00CC7249" w:rsidRPr="0012157D">
        <w:rPr>
          <w:rFonts w:ascii="Times New Roman" w:hAnsi="Times New Roman"/>
          <w:spacing w:val="-2"/>
          <w:sz w:val="24"/>
          <w:szCs w:val="24"/>
        </w:rPr>
        <w:t>Dr. Anđelko Višić</w:t>
      </w:r>
      <w:r w:rsidR="0012157D">
        <w:rPr>
          <w:rFonts w:ascii="Times New Roman" w:hAnsi="Times New Roman"/>
          <w:spacing w:val="-2"/>
          <w:sz w:val="24"/>
          <w:szCs w:val="24"/>
        </w:rPr>
        <w:t>“</w:t>
      </w:r>
      <w:r w:rsidR="00CC7249" w:rsidRPr="0012157D">
        <w:rPr>
          <w:rFonts w:ascii="Times New Roman" w:hAnsi="Times New Roman"/>
          <w:spacing w:val="-2"/>
          <w:sz w:val="24"/>
          <w:szCs w:val="24"/>
        </w:rPr>
        <w:t xml:space="preserve"> Bjelovar </w:t>
      </w:r>
      <w:r w:rsidR="003E46EC" w:rsidRPr="0012157D">
        <w:rPr>
          <w:rFonts w:ascii="Times New Roman" w:hAnsi="Times New Roman"/>
          <w:spacing w:val="-2"/>
          <w:sz w:val="24"/>
          <w:szCs w:val="24"/>
        </w:rPr>
        <w:t>s priloženom fakturom za plaćanje.</w:t>
      </w:r>
    </w:p>
    <w:p w14:paraId="3C551913" w14:textId="77777777" w:rsidR="00B279A7" w:rsidRPr="00D468EE" w:rsidRDefault="00B279A7" w:rsidP="00D468EE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7AFBB74" w14:textId="77777777" w:rsidR="002C45AD" w:rsidRPr="00D468EE" w:rsidRDefault="00A641B8" w:rsidP="00D468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68EE">
        <w:rPr>
          <w:rFonts w:ascii="Times New Roman" w:hAnsi="Times New Roman"/>
          <w:sz w:val="24"/>
          <w:szCs w:val="24"/>
        </w:rPr>
        <w:lastRenderedPageBreak/>
        <w:t xml:space="preserve">Stoga se predlaže Vladi Republike Hrvatske donošenje odluke kojom se daje </w:t>
      </w:r>
      <w:r w:rsidR="002C45AD" w:rsidRPr="00D468EE">
        <w:rPr>
          <w:rFonts w:ascii="Times New Roman" w:hAnsi="Times New Roman"/>
          <w:sz w:val="24"/>
          <w:szCs w:val="24"/>
        </w:rPr>
        <w:t>suglasnost Ministarstvu zdravstva za preuzimanje obveza na teret sredstava državnog proračuna Republike Hrvatske za razdoblje od 202</w:t>
      </w:r>
      <w:r w:rsidR="00205BA4" w:rsidRPr="00D468EE">
        <w:rPr>
          <w:rFonts w:ascii="Times New Roman" w:hAnsi="Times New Roman"/>
          <w:sz w:val="24"/>
          <w:szCs w:val="24"/>
        </w:rPr>
        <w:t>4</w:t>
      </w:r>
      <w:r w:rsidR="002C45AD" w:rsidRPr="00D468EE">
        <w:rPr>
          <w:rFonts w:ascii="Times New Roman" w:hAnsi="Times New Roman"/>
          <w:sz w:val="24"/>
          <w:szCs w:val="24"/>
        </w:rPr>
        <w:t>. do 203</w:t>
      </w:r>
      <w:r w:rsidR="00205BA4" w:rsidRPr="00D468EE">
        <w:rPr>
          <w:rFonts w:ascii="Times New Roman" w:hAnsi="Times New Roman"/>
          <w:sz w:val="24"/>
          <w:szCs w:val="24"/>
        </w:rPr>
        <w:t>6</w:t>
      </w:r>
      <w:r w:rsidR="002C45AD" w:rsidRPr="00D468EE">
        <w:rPr>
          <w:rFonts w:ascii="Times New Roman" w:hAnsi="Times New Roman"/>
          <w:sz w:val="24"/>
          <w:szCs w:val="24"/>
        </w:rPr>
        <w:t>.</w:t>
      </w:r>
      <w:r w:rsidR="00AC1049" w:rsidRPr="00D468EE">
        <w:rPr>
          <w:rFonts w:ascii="Times New Roman" w:hAnsi="Times New Roman"/>
          <w:sz w:val="24"/>
          <w:szCs w:val="24"/>
        </w:rPr>
        <w:t>,</w:t>
      </w:r>
      <w:r w:rsidR="002C45AD" w:rsidRPr="00D468EE">
        <w:rPr>
          <w:rFonts w:ascii="Times New Roman" w:hAnsi="Times New Roman"/>
          <w:sz w:val="24"/>
          <w:szCs w:val="24"/>
        </w:rPr>
        <w:t xml:space="preserve"> </w:t>
      </w:r>
      <w:r w:rsidR="00205BA4" w:rsidRPr="00D468EE">
        <w:rPr>
          <w:rFonts w:ascii="Times New Roman" w:hAnsi="Times New Roman"/>
          <w:bCs/>
          <w:sz w:val="24"/>
          <w:szCs w:val="24"/>
        </w:rPr>
        <w:t>radi financiranja nastavka realizacije projekta izgradnje i opremanja nove zgrade Opće bolni</w:t>
      </w:r>
      <w:r w:rsidR="00CC7249" w:rsidRPr="00D468EE">
        <w:rPr>
          <w:rFonts w:ascii="Times New Roman" w:hAnsi="Times New Roman"/>
          <w:bCs/>
          <w:sz w:val="24"/>
          <w:szCs w:val="24"/>
        </w:rPr>
        <w:t xml:space="preserve">ce </w:t>
      </w:r>
      <w:r w:rsidR="0012157D">
        <w:rPr>
          <w:rFonts w:ascii="Times New Roman" w:hAnsi="Times New Roman"/>
          <w:bCs/>
          <w:sz w:val="24"/>
          <w:szCs w:val="24"/>
        </w:rPr>
        <w:t>„</w:t>
      </w:r>
      <w:r w:rsidR="00CC7249" w:rsidRPr="00D468EE">
        <w:rPr>
          <w:rFonts w:ascii="Times New Roman" w:hAnsi="Times New Roman"/>
          <w:bCs/>
          <w:sz w:val="24"/>
          <w:szCs w:val="24"/>
        </w:rPr>
        <w:t>D</w:t>
      </w:r>
      <w:r w:rsidR="00135849" w:rsidRPr="00D468EE">
        <w:rPr>
          <w:rFonts w:ascii="Times New Roman" w:hAnsi="Times New Roman"/>
          <w:bCs/>
          <w:sz w:val="24"/>
          <w:szCs w:val="24"/>
        </w:rPr>
        <w:t>r. Anđelko Višić</w:t>
      </w:r>
      <w:r w:rsidR="0012157D">
        <w:rPr>
          <w:rFonts w:ascii="Times New Roman" w:hAnsi="Times New Roman"/>
          <w:bCs/>
          <w:sz w:val="24"/>
          <w:szCs w:val="24"/>
        </w:rPr>
        <w:t>“</w:t>
      </w:r>
      <w:r w:rsidR="00135849" w:rsidRPr="00D468EE">
        <w:rPr>
          <w:rFonts w:ascii="Times New Roman" w:hAnsi="Times New Roman"/>
          <w:bCs/>
          <w:sz w:val="24"/>
          <w:szCs w:val="24"/>
        </w:rPr>
        <w:t xml:space="preserve"> Bjelovar, </w:t>
      </w:r>
      <w:r w:rsidR="00135849" w:rsidRPr="0012157D">
        <w:rPr>
          <w:rFonts w:ascii="Times New Roman" w:hAnsi="Times New Roman"/>
          <w:bCs/>
          <w:sz w:val="24"/>
          <w:szCs w:val="24"/>
        </w:rPr>
        <w:t>u cilju davanja</w:t>
      </w:r>
      <w:r w:rsidR="00CC7249" w:rsidRPr="00D468EE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CC7249" w:rsidRPr="0012157D">
        <w:rPr>
          <w:rFonts w:ascii="Times New Roman" w:hAnsi="Times New Roman"/>
          <w:bCs/>
          <w:sz w:val="24"/>
          <w:szCs w:val="24"/>
        </w:rPr>
        <w:t>pomoći Općoj bolnici „Dr. Anđelko Višić“ Bjelovar za pokriće obveza koje proizlaze iz dva ugovora o dugoročnom zaduživanju i za pokriće obveza</w:t>
      </w:r>
      <w:r w:rsidR="00CC7249" w:rsidRPr="0012157D">
        <w:rPr>
          <w:rFonts w:ascii="Times New Roman" w:hAnsi="Times New Roman"/>
          <w:sz w:val="24"/>
          <w:szCs w:val="24"/>
        </w:rPr>
        <w:t xml:space="preserve"> </w:t>
      </w:r>
      <w:r w:rsidR="00CC7249" w:rsidRPr="0012157D">
        <w:rPr>
          <w:rFonts w:ascii="Times New Roman" w:hAnsi="Times New Roman"/>
          <w:bCs/>
          <w:sz w:val="24"/>
          <w:szCs w:val="24"/>
        </w:rPr>
        <w:t>za nabavu opreme.</w:t>
      </w:r>
    </w:p>
    <w:p w14:paraId="1BB72AE8" w14:textId="77777777" w:rsidR="002C45AD" w:rsidRPr="00D468EE" w:rsidRDefault="002C45AD" w:rsidP="00D468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2C45AD" w:rsidRPr="00D468EE" w:rsidSect="00040EAF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6AE7C" w14:textId="77777777" w:rsidR="00182C92" w:rsidRDefault="00182C92" w:rsidP="0016213C">
      <w:pPr>
        <w:spacing w:after="0" w:line="240" w:lineRule="auto"/>
      </w:pPr>
      <w:r>
        <w:separator/>
      </w:r>
    </w:p>
  </w:endnote>
  <w:endnote w:type="continuationSeparator" w:id="0">
    <w:p w14:paraId="4C408CC2" w14:textId="77777777" w:rsidR="00182C92" w:rsidRDefault="00182C92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8EBA4" w14:textId="77777777" w:rsidR="00E81245" w:rsidRPr="00E81245" w:rsidRDefault="00E81245" w:rsidP="00E81245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E81245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88B3F" w14:textId="77777777" w:rsidR="0016213C" w:rsidRDefault="0016213C">
    <w:pPr>
      <w:pStyle w:val="Footer"/>
      <w:jc w:val="right"/>
    </w:pPr>
  </w:p>
  <w:p w14:paraId="32B2D078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46A9B" w14:textId="77777777" w:rsidR="00182C92" w:rsidRDefault="00182C92" w:rsidP="0016213C">
      <w:pPr>
        <w:spacing w:after="0" w:line="240" w:lineRule="auto"/>
      </w:pPr>
      <w:r>
        <w:separator/>
      </w:r>
    </w:p>
  </w:footnote>
  <w:footnote w:type="continuationSeparator" w:id="0">
    <w:p w14:paraId="0BAA7C13" w14:textId="77777777" w:rsidR="00182C92" w:rsidRDefault="00182C92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F310E" w14:textId="58274A11" w:rsidR="00D468EE" w:rsidRPr="00D468EE" w:rsidRDefault="00D468EE" w:rsidP="00D468EE">
    <w:pPr>
      <w:pStyle w:val="Header"/>
      <w:jc w:val="center"/>
      <w:rPr>
        <w:rFonts w:ascii="Times New Roman" w:hAnsi="Times New Roman"/>
        <w:sz w:val="24"/>
        <w:szCs w:val="24"/>
      </w:rPr>
    </w:pPr>
    <w:r w:rsidRPr="00D468EE">
      <w:rPr>
        <w:rFonts w:ascii="Times New Roman" w:hAnsi="Times New Roman"/>
        <w:sz w:val="24"/>
        <w:szCs w:val="24"/>
      </w:rPr>
      <w:fldChar w:fldCharType="begin"/>
    </w:r>
    <w:r w:rsidRPr="00D468EE">
      <w:rPr>
        <w:rFonts w:ascii="Times New Roman" w:hAnsi="Times New Roman"/>
        <w:sz w:val="24"/>
        <w:szCs w:val="24"/>
      </w:rPr>
      <w:instrText>PAGE   \* MERGEFORMAT</w:instrText>
    </w:r>
    <w:r w:rsidRPr="00D468EE">
      <w:rPr>
        <w:rFonts w:ascii="Times New Roman" w:hAnsi="Times New Roman"/>
        <w:sz w:val="24"/>
        <w:szCs w:val="24"/>
      </w:rPr>
      <w:fldChar w:fldCharType="separate"/>
    </w:r>
    <w:r w:rsidR="007938BA">
      <w:rPr>
        <w:rFonts w:ascii="Times New Roman" w:hAnsi="Times New Roman"/>
        <w:noProof/>
        <w:sz w:val="24"/>
        <w:szCs w:val="24"/>
      </w:rPr>
      <w:t>2</w:t>
    </w:r>
    <w:r w:rsidRPr="00D468E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83166"/>
    <w:multiLevelType w:val="hybridMultilevel"/>
    <w:tmpl w:val="157A5AD2"/>
    <w:lvl w:ilvl="0" w:tplc="508A2A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7D7"/>
    <w:rsid w:val="00000854"/>
    <w:rsid w:val="000144F6"/>
    <w:rsid w:val="00014A0B"/>
    <w:rsid w:val="00015EAD"/>
    <w:rsid w:val="000200FA"/>
    <w:rsid w:val="00020A1B"/>
    <w:rsid w:val="0003093F"/>
    <w:rsid w:val="00040EAF"/>
    <w:rsid w:val="00056526"/>
    <w:rsid w:val="00060474"/>
    <w:rsid w:val="00065B27"/>
    <w:rsid w:val="000906C1"/>
    <w:rsid w:val="000956D5"/>
    <w:rsid w:val="00096AC1"/>
    <w:rsid w:val="000C17DD"/>
    <w:rsid w:val="000C3EEE"/>
    <w:rsid w:val="000F51C4"/>
    <w:rsid w:val="000F7348"/>
    <w:rsid w:val="001138FB"/>
    <w:rsid w:val="0012157D"/>
    <w:rsid w:val="0012479B"/>
    <w:rsid w:val="00135849"/>
    <w:rsid w:val="00142592"/>
    <w:rsid w:val="00146315"/>
    <w:rsid w:val="0016213C"/>
    <w:rsid w:val="0016326F"/>
    <w:rsid w:val="001661B3"/>
    <w:rsid w:val="00182C92"/>
    <w:rsid w:val="001874D6"/>
    <w:rsid w:val="001A2908"/>
    <w:rsid w:val="001B0A19"/>
    <w:rsid w:val="001C79B2"/>
    <w:rsid w:val="001D0637"/>
    <w:rsid w:val="001D42F0"/>
    <w:rsid w:val="001F46D4"/>
    <w:rsid w:val="001F708B"/>
    <w:rsid w:val="00205BA4"/>
    <w:rsid w:val="0021748A"/>
    <w:rsid w:val="00220F18"/>
    <w:rsid w:val="0023064F"/>
    <w:rsid w:val="002448C5"/>
    <w:rsid w:val="0024529D"/>
    <w:rsid w:val="00253230"/>
    <w:rsid w:val="00264860"/>
    <w:rsid w:val="00281F37"/>
    <w:rsid w:val="00283D5B"/>
    <w:rsid w:val="00290862"/>
    <w:rsid w:val="00295CAA"/>
    <w:rsid w:val="002965CD"/>
    <w:rsid w:val="002B2F89"/>
    <w:rsid w:val="002C37F5"/>
    <w:rsid w:val="002C45AD"/>
    <w:rsid w:val="002D0D20"/>
    <w:rsid w:val="002D1F06"/>
    <w:rsid w:val="002D67BD"/>
    <w:rsid w:val="002D6BC2"/>
    <w:rsid w:val="002F72A5"/>
    <w:rsid w:val="00305F6C"/>
    <w:rsid w:val="00321FA2"/>
    <w:rsid w:val="003377F5"/>
    <w:rsid w:val="0034044C"/>
    <w:rsid w:val="003C4F18"/>
    <w:rsid w:val="003D0C81"/>
    <w:rsid w:val="003D43A7"/>
    <w:rsid w:val="003D5547"/>
    <w:rsid w:val="003E46EC"/>
    <w:rsid w:val="003E7ED7"/>
    <w:rsid w:val="003F677C"/>
    <w:rsid w:val="004171DD"/>
    <w:rsid w:val="00425421"/>
    <w:rsid w:val="00451401"/>
    <w:rsid w:val="004541D5"/>
    <w:rsid w:val="0045495F"/>
    <w:rsid w:val="004624FA"/>
    <w:rsid w:val="00467B95"/>
    <w:rsid w:val="00475133"/>
    <w:rsid w:val="00492648"/>
    <w:rsid w:val="004C77C1"/>
    <w:rsid w:val="004D1934"/>
    <w:rsid w:val="005063A1"/>
    <w:rsid w:val="00510C1E"/>
    <w:rsid w:val="0052065F"/>
    <w:rsid w:val="005222AE"/>
    <w:rsid w:val="00527FA8"/>
    <w:rsid w:val="005414D9"/>
    <w:rsid w:val="0055299E"/>
    <w:rsid w:val="005650B3"/>
    <w:rsid w:val="00571335"/>
    <w:rsid w:val="00575419"/>
    <w:rsid w:val="00590DB5"/>
    <w:rsid w:val="005A33D6"/>
    <w:rsid w:val="005A5857"/>
    <w:rsid w:val="005C0332"/>
    <w:rsid w:val="005D1847"/>
    <w:rsid w:val="005D6BD9"/>
    <w:rsid w:val="005F6972"/>
    <w:rsid w:val="00615049"/>
    <w:rsid w:val="00622275"/>
    <w:rsid w:val="00642E1D"/>
    <w:rsid w:val="006433F9"/>
    <w:rsid w:val="006675A7"/>
    <w:rsid w:val="00667C4D"/>
    <w:rsid w:val="00670B22"/>
    <w:rsid w:val="0067297F"/>
    <w:rsid w:val="006756B6"/>
    <w:rsid w:val="006A64D5"/>
    <w:rsid w:val="006C2E91"/>
    <w:rsid w:val="006C5322"/>
    <w:rsid w:val="006E546C"/>
    <w:rsid w:val="00703036"/>
    <w:rsid w:val="00705D73"/>
    <w:rsid w:val="007135C0"/>
    <w:rsid w:val="00736983"/>
    <w:rsid w:val="00741D9A"/>
    <w:rsid w:val="007420AB"/>
    <w:rsid w:val="00785E25"/>
    <w:rsid w:val="00786D1C"/>
    <w:rsid w:val="007900BB"/>
    <w:rsid w:val="007917B2"/>
    <w:rsid w:val="007938BA"/>
    <w:rsid w:val="007A12C3"/>
    <w:rsid w:val="007C2EF7"/>
    <w:rsid w:val="00807064"/>
    <w:rsid w:val="0083330D"/>
    <w:rsid w:val="0086634C"/>
    <w:rsid w:val="0086636B"/>
    <w:rsid w:val="008770E6"/>
    <w:rsid w:val="00881D8E"/>
    <w:rsid w:val="008A3D3A"/>
    <w:rsid w:val="008C01F6"/>
    <w:rsid w:val="008D6026"/>
    <w:rsid w:val="008E2228"/>
    <w:rsid w:val="008E7074"/>
    <w:rsid w:val="00916083"/>
    <w:rsid w:val="009240E3"/>
    <w:rsid w:val="00926ECF"/>
    <w:rsid w:val="00927EE4"/>
    <w:rsid w:val="009313BF"/>
    <w:rsid w:val="00932C3F"/>
    <w:rsid w:val="00936739"/>
    <w:rsid w:val="0095360B"/>
    <w:rsid w:val="00953DF9"/>
    <w:rsid w:val="00954B0E"/>
    <w:rsid w:val="00964364"/>
    <w:rsid w:val="00966A54"/>
    <w:rsid w:val="009819F8"/>
    <w:rsid w:val="00981FAF"/>
    <w:rsid w:val="0098674F"/>
    <w:rsid w:val="009964D4"/>
    <w:rsid w:val="009B7463"/>
    <w:rsid w:val="009D506C"/>
    <w:rsid w:val="009E61A4"/>
    <w:rsid w:val="009F2DDF"/>
    <w:rsid w:val="00A0611E"/>
    <w:rsid w:val="00A641B8"/>
    <w:rsid w:val="00A673A6"/>
    <w:rsid w:val="00AA2D8F"/>
    <w:rsid w:val="00AB380F"/>
    <w:rsid w:val="00AB6AAE"/>
    <w:rsid w:val="00AC1049"/>
    <w:rsid w:val="00AC34AE"/>
    <w:rsid w:val="00AC6EAD"/>
    <w:rsid w:val="00AF76BF"/>
    <w:rsid w:val="00B053FC"/>
    <w:rsid w:val="00B06361"/>
    <w:rsid w:val="00B20C17"/>
    <w:rsid w:val="00B24C16"/>
    <w:rsid w:val="00B278F4"/>
    <w:rsid w:val="00B279A7"/>
    <w:rsid w:val="00B37C12"/>
    <w:rsid w:val="00B62398"/>
    <w:rsid w:val="00B75937"/>
    <w:rsid w:val="00B84257"/>
    <w:rsid w:val="00B850C3"/>
    <w:rsid w:val="00B9121E"/>
    <w:rsid w:val="00BC0862"/>
    <w:rsid w:val="00BD2ADD"/>
    <w:rsid w:val="00BD6BFD"/>
    <w:rsid w:val="00C05D52"/>
    <w:rsid w:val="00C12B53"/>
    <w:rsid w:val="00C5332D"/>
    <w:rsid w:val="00C6534E"/>
    <w:rsid w:val="00C95103"/>
    <w:rsid w:val="00CC7249"/>
    <w:rsid w:val="00CD79E1"/>
    <w:rsid w:val="00CE6B0E"/>
    <w:rsid w:val="00CE7872"/>
    <w:rsid w:val="00D10749"/>
    <w:rsid w:val="00D10AED"/>
    <w:rsid w:val="00D16E04"/>
    <w:rsid w:val="00D468EE"/>
    <w:rsid w:val="00D53C54"/>
    <w:rsid w:val="00D70B53"/>
    <w:rsid w:val="00D737AC"/>
    <w:rsid w:val="00DA32DB"/>
    <w:rsid w:val="00DC042D"/>
    <w:rsid w:val="00DD016B"/>
    <w:rsid w:val="00DE2887"/>
    <w:rsid w:val="00DE40B8"/>
    <w:rsid w:val="00E1201B"/>
    <w:rsid w:val="00E15E50"/>
    <w:rsid w:val="00E17202"/>
    <w:rsid w:val="00E23352"/>
    <w:rsid w:val="00E40064"/>
    <w:rsid w:val="00E42084"/>
    <w:rsid w:val="00E55D5F"/>
    <w:rsid w:val="00E72511"/>
    <w:rsid w:val="00E7483E"/>
    <w:rsid w:val="00E75431"/>
    <w:rsid w:val="00E81245"/>
    <w:rsid w:val="00EA0DC2"/>
    <w:rsid w:val="00EC4FAF"/>
    <w:rsid w:val="00ED3EB1"/>
    <w:rsid w:val="00EE19AD"/>
    <w:rsid w:val="00EF38DC"/>
    <w:rsid w:val="00F01CD7"/>
    <w:rsid w:val="00F03AD3"/>
    <w:rsid w:val="00F15148"/>
    <w:rsid w:val="00F33F1E"/>
    <w:rsid w:val="00F36C63"/>
    <w:rsid w:val="00F43FB3"/>
    <w:rsid w:val="00F658D0"/>
    <w:rsid w:val="00F7132B"/>
    <w:rsid w:val="00F7287F"/>
    <w:rsid w:val="00F86B24"/>
    <w:rsid w:val="00FC65C3"/>
    <w:rsid w:val="00FE424A"/>
    <w:rsid w:val="00FE5FFD"/>
    <w:rsid w:val="00FE68FD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CD38AB"/>
  <w15:docId w15:val="{D4F0DAAC-5607-4495-A56C-7AFE214D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0AB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4Char">
    <w:name w:val="Heading 4 Char"/>
    <w:link w:val="Heading4"/>
    <w:uiPriority w:val="9"/>
    <w:semiHidden/>
    <w:rsid w:val="007420AB"/>
    <w:rPr>
      <w:rFonts w:ascii="Cambria" w:eastAsia="Times New Roman" w:hAnsi="Cambria" w:cs="Times New Roman"/>
      <w:i/>
      <w:iCs/>
      <w:color w:val="365F91"/>
    </w:rPr>
  </w:style>
  <w:style w:type="table" w:customStyle="1" w:styleId="Reetkatablice1">
    <w:name w:val="Rešetka tablice1"/>
    <w:basedOn w:val="TableNormal"/>
    <w:next w:val="TableGrid"/>
    <w:uiPriority w:val="59"/>
    <w:rsid w:val="0074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1661B3"/>
  </w:style>
  <w:style w:type="character" w:styleId="CommentReference">
    <w:name w:val="annotation reference"/>
    <w:uiPriority w:val="99"/>
    <w:semiHidden/>
    <w:unhideWhenUsed/>
    <w:rsid w:val="00CE6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6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E6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B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6B0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E812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AZJMDCZ6QSYZ-12-9741</_dlc_DocId>
    <_dlc_DocIdUrl xmlns="a494813a-d0d8-4dad-94cb-0d196f36ba15">
      <Url>https://ekoordinacije.vlada.hr/sjednice-drustvo/_layouts/15/DocIdRedir.aspx?ID=AZJMDCZ6QSYZ-12-9741</Url>
      <Description>AZJMDCZ6QSYZ-12-9741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1EE0C-668F-4C89-B28E-993E238F0E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346243-E75D-4695-879F-8E24515F6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7148A-492A-41A9-82BB-F3EFB87256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534A93-FF02-4E4D-BD5D-58FB9E2A26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DAB7B3-306D-4B7E-B6FD-38DD03AF5A1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4B8CCCB6-44C1-4391-B9C2-DEB3B966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cp:lastModifiedBy>Marija Pišonić</cp:lastModifiedBy>
  <cp:revision>23</cp:revision>
  <cp:lastPrinted>2023-04-11T15:12:00Z</cp:lastPrinted>
  <dcterms:created xsi:type="dcterms:W3CDTF">2023-04-11T12:58:00Z</dcterms:created>
  <dcterms:modified xsi:type="dcterms:W3CDTF">2023-04-12T12:44:00Z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_dlc_DocId">
    <vt:lpwstr>AZJMDCZ6QSYZ-1335579144-43553</vt:lpwstr>
  </property>
  <property fmtid="{D5CDD505-2E9C-101B-9397-08002B2CF9AE}" pid="6" name="_dlc_DocIdItemGuid">
    <vt:lpwstr>bb24df30-b022-4f20-9245-e953e48248c0</vt:lpwstr>
  </property>
  <property fmtid="{D5CDD505-2E9C-101B-9397-08002B2CF9AE}" pid="7" name="_dlc_DocIdUrl">
    <vt:lpwstr>https://ekoordinacije.vlada.hr/_layouts/15/DocIdRedir.aspx?ID=AZJMDCZ6QSYZ-1335579144-43553, AZJMDCZ6QSYZ-1335579144-43553</vt:lpwstr>
  </property>
</Properties>
</file>